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bookmarkStart w:id="0" w:name="_GoBack"/>
      <w:bookmarkEnd w:id="0"/>
      <w:r>
        <w:t>BEFORE THE PUBLIC SERVICE COMMISSION</w:t>
      </w:r>
    </w:p>
    <w:p>
      <w:pPr>
        <w:jc w:val="center"/>
      </w:pPr>
      <w:r>
        <w:t>STATE OF GEORGIA</w:t>
      </w:r>
    </w:p>
    <w:p/>
    <w:p>
      <w:r>
        <w:t>SAWNEE EMC,</w:t>
      </w:r>
      <w:r>
        <w:tab/>
      </w:r>
      <w:r>
        <w:tab/>
      </w:r>
      <w:r>
        <w:tab/>
      </w:r>
      <w:r>
        <w:tab/>
        <w:t>)</w:t>
      </w:r>
    </w:p>
    <w:p>
      <w:r>
        <w:tab/>
      </w:r>
      <w:r>
        <w:tab/>
      </w:r>
      <w:r>
        <w:tab/>
      </w:r>
      <w:r>
        <w:tab/>
      </w:r>
      <w:r>
        <w:tab/>
      </w:r>
      <w:r>
        <w:tab/>
        <w:t>)</w:t>
      </w:r>
    </w:p>
    <w:p>
      <w:r>
        <w:tab/>
      </w:r>
      <w:r>
        <w:tab/>
      </w:r>
      <w:r>
        <w:tab/>
        <w:t>Petitioner,</w:t>
      </w:r>
      <w:r>
        <w:tab/>
      </w:r>
      <w:r>
        <w:tab/>
        <w:t>)</w:t>
      </w:r>
    </w:p>
    <w:p>
      <w:r>
        <w:tab/>
      </w:r>
      <w:r>
        <w:tab/>
      </w:r>
      <w:r>
        <w:tab/>
      </w:r>
      <w:r>
        <w:tab/>
      </w:r>
      <w:r>
        <w:tab/>
      </w:r>
      <w:r>
        <w:tab/>
        <w:t>)</w:t>
      </w:r>
    </w:p>
    <w:p>
      <w:r>
        <w:t>v.</w:t>
      </w:r>
      <w:r>
        <w:tab/>
      </w:r>
      <w:r>
        <w:tab/>
      </w:r>
      <w:r>
        <w:tab/>
      </w:r>
      <w:r>
        <w:tab/>
      </w:r>
      <w:r>
        <w:tab/>
      </w:r>
      <w:r>
        <w:tab/>
        <w:t>)</w:t>
      </w:r>
      <w:r>
        <w:tab/>
      </w:r>
      <w:r>
        <w:tab/>
        <w:t>Docket No. 43899</w:t>
      </w:r>
    </w:p>
    <w:p>
      <w:r>
        <w:tab/>
      </w:r>
      <w:r>
        <w:tab/>
      </w:r>
      <w:r>
        <w:tab/>
      </w:r>
      <w:r>
        <w:tab/>
      </w:r>
      <w:r>
        <w:tab/>
      </w:r>
      <w:r>
        <w:tab/>
        <w:t>)</w:t>
      </w:r>
    </w:p>
    <w:p>
      <w:r>
        <w:t>GEORGIA POWER COMPANY,</w:t>
      </w:r>
      <w:r>
        <w:tab/>
      </w:r>
      <w:r>
        <w:tab/>
        <w:t>)</w:t>
      </w:r>
    </w:p>
    <w:p>
      <w:r>
        <w:tab/>
      </w:r>
      <w:r>
        <w:tab/>
      </w:r>
      <w:r>
        <w:tab/>
      </w:r>
      <w:r>
        <w:tab/>
      </w:r>
      <w:r>
        <w:tab/>
      </w:r>
      <w:r>
        <w:tab/>
        <w:t>)</w:t>
      </w:r>
    </w:p>
    <w:p>
      <w:r>
        <w:tab/>
      </w:r>
      <w:r>
        <w:tab/>
      </w:r>
      <w:r>
        <w:tab/>
        <w:t>Respondent.</w:t>
      </w:r>
      <w:r>
        <w:tab/>
      </w:r>
      <w:r>
        <w:tab/>
        <w:t>)</w:t>
      </w:r>
    </w:p>
    <w:p/>
    <w:p/>
    <w:p>
      <w:pPr>
        <w:jc w:val="center"/>
        <w:rPr>
          <w:b/>
        </w:rPr>
      </w:pPr>
      <w:r>
        <w:rPr>
          <w:b/>
        </w:rPr>
        <w:t xml:space="preserve">SAWNEE EMC’S APPLICATION </w:t>
      </w:r>
    </w:p>
    <w:p>
      <w:pPr>
        <w:jc w:val="center"/>
        <w:rPr>
          <w:b/>
        </w:rPr>
      </w:pPr>
      <w:r>
        <w:rPr>
          <w:b/>
        </w:rPr>
        <w:t xml:space="preserve">FOR FULL COMMISSION REVIEW </w:t>
      </w:r>
    </w:p>
    <w:p>
      <w:pPr>
        <w:jc w:val="center"/>
      </w:pPr>
      <w:r>
        <w:rPr>
          <w:b/>
          <w:u w:val="single"/>
        </w:rPr>
        <w:t>OF HEARING OFFICER’S INITIAL DECISION</w:t>
      </w:r>
    </w:p>
    <w:p/>
    <w:p>
      <w:pPr>
        <w:jc w:val="center"/>
      </w:pPr>
      <w:r>
        <w:rPr>
          <w:b/>
        </w:rPr>
        <w:t>INTRODUCTION</w:t>
      </w:r>
    </w:p>
    <w:p/>
    <w:p>
      <w:pPr>
        <w:spacing w:line="480" w:lineRule="auto"/>
      </w:pPr>
      <w:r>
        <w:tab/>
        <w:t xml:space="preserve">Pursuant to O.C.G.A. § 50-13-17(a), </w:t>
      </w:r>
      <w:proofErr w:type="spellStart"/>
      <w:r>
        <w:t>Sawnee</w:t>
      </w:r>
      <w:proofErr w:type="spellEnd"/>
      <w:r>
        <w:t xml:space="preserve"> Electric Membership Corporation (“</w:t>
      </w:r>
      <w:proofErr w:type="spellStart"/>
      <w:r>
        <w:t>Sawnee</w:t>
      </w:r>
      <w:proofErr w:type="spellEnd"/>
      <w:r>
        <w:t xml:space="preserve"> EMC”) brings this application for full Commission review of the Hearing Officer’s Initial Decision. This case involves a dispute between </w:t>
      </w:r>
      <w:proofErr w:type="spellStart"/>
      <w:r>
        <w:t>Sawnee</w:t>
      </w:r>
      <w:proofErr w:type="spellEnd"/>
      <w:r>
        <w:t xml:space="preserve"> EMC and Georgia Power Company over the right to serve an electric vehicle (“EV”) charging station (the “Premises”) in </w:t>
      </w:r>
      <w:proofErr w:type="spellStart"/>
      <w:r>
        <w:t>Sawnee</w:t>
      </w:r>
      <w:proofErr w:type="spellEnd"/>
      <w:r>
        <w:t xml:space="preserve"> EMC’s service territory. Georgia Power claims that the Territorial Act’s “large load” exception applies to the charging station based on the nameplate data of the charging station’s rectifiers. But rectifiers are not “load” because they do not </w:t>
      </w:r>
      <w:r>
        <w:rPr>
          <w:i/>
        </w:rPr>
        <w:t>consume</w:t>
      </w:r>
      <w:r>
        <w:t xml:space="preserve"> electricity. Rectifiers are internal parts of the electrical distribution system; they convert AC electricity into DC electricity that is </w:t>
      </w:r>
      <w:r>
        <w:rPr>
          <w:i/>
        </w:rPr>
        <w:t>then</w:t>
      </w:r>
      <w:r>
        <w:t xml:space="preserve"> consumed only by an electric vehicle. And there are many consumers of the charging station, not “one consumer” as required under the large load exception. Because rectifiers do not count toward the large load exception, and the charging station is not “utilized by one consumer,” </w:t>
      </w:r>
      <w:proofErr w:type="spellStart"/>
      <w:r>
        <w:t>Sawnee</w:t>
      </w:r>
      <w:proofErr w:type="spellEnd"/>
      <w:r>
        <w:t xml:space="preserve"> EMC has the exclusive right to serve the charging station.</w:t>
      </w:r>
    </w:p>
    <w:p>
      <w:pPr>
        <w:spacing w:line="480" w:lineRule="auto"/>
      </w:pPr>
      <w:r>
        <w:lastRenderedPageBreak/>
        <w:tab/>
        <w:t xml:space="preserve">In her Initial Decision, the Hearing Officer misconstrued the plain words of the Territorial Act and did not properly apply applicable Commission and judicial precedent. Whether internal rectifiers can be counted as “load” and whether EV charging stations that provide electricity to many independent drivers are utilized by only “one consumer” for purposes of the large load exception are questions of first impression. But contrary to the Initial Decision, both the plain words of the Territorial Act and analogous decisions of the Commission and Georgia courts compel the conclusion that the large load exception does </w:t>
      </w:r>
      <w:r>
        <w:rPr>
          <w:i/>
        </w:rPr>
        <w:t>not</w:t>
      </w:r>
      <w:r>
        <w:t xml:space="preserve"> apply to the EV charging station here. Georgia Power thus failed to prove that this case justifies extending the large load exception for the first time to an EV charging station. At the very least, substantial doubts about whether internal rectifiers qualify as “connected load” and whether this charging station is utilized by one or many consumers should be resolved in </w:t>
      </w:r>
      <w:proofErr w:type="spellStart"/>
      <w:r>
        <w:t>Sawnee</w:t>
      </w:r>
      <w:proofErr w:type="spellEnd"/>
      <w:r>
        <w:t xml:space="preserve"> EMC’s favor, in keeping with the well-established rule that the large load exception of the Territorial Act must be strictly construed.  </w:t>
      </w:r>
    </w:p>
    <w:p>
      <w:pPr>
        <w:spacing w:line="480" w:lineRule="auto"/>
      </w:pPr>
      <w:r>
        <w:tab/>
      </w:r>
      <w:proofErr w:type="spellStart"/>
      <w:r>
        <w:t>Sawnee</w:t>
      </w:r>
      <w:proofErr w:type="spellEnd"/>
      <w:r>
        <w:t xml:space="preserve"> EMC therefore requests an order from the full Commission reversing the Hearing Officer’s Initial Decision and confirming </w:t>
      </w:r>
      <w:proofErr w:type="spellStart"/>
      <w:r>
        <w:t>Sawnee</w:t>
      </w:r>
      <w:proofErr w:type="spellEnd"/>
      <w:r>
        <w:t xml:space="preserve"> EMC’s rights under the Territorial Act.</w:t>
      </w:r>
    </w:p>
    <w:p>
      <w:pPr>
        <w:spacing w:line="480" w:lineRule="auto"/>
        <w:jc w:val="center"/>
      </w:pPr>
      <w:r>
        <w:rPr>
          <w:b/>
        </w:rPr>
        <w:t>SUMMARY OF ARGUMENT</w:t>
      </w:r>
    </w:p>
    <w:p>
      <w:pPr>
        <w:keepNext/>
        <w:spacing w:line="480" w:lineRule="auto"/>
        <w:ind w:firstLine="720"/>
      </w:pPr>
      <w:bookmarkStart w:id="1" w:name="OLE_LINK2"/>
      <w:r>
        <w:t xml:space="preserve">The question in this case is whether an EV charging station in </w:t>
      </w:r>
      <w:proofErr w:type="spellStart"/>
      <w:r>
        <w:t>Sawnee</w:t>
      </w:r>
      <w:proofErr w:type="spellEnd"/>
      <w:r>
        <w:t xml:space="preserve"> EMC’s service territory qualifies for the large load exception. For the large load exception to apply, the Commission must find that Georgia Power proved </w:t>
      </w:r>
      <w:r>
        <w:rPr>
          <w:i/>
        </w:rPr>
        <w:t xml:space="preserve">both </w:t>
      </w:r>
      <w:r>
        <w:t xml:space="preserve">(1) that the charging station’s internal rectifiers constituted more than 900 kW of “connected load” at initial full operation; </w:t>
      </w:r>
      <w:r>
        <w:rPr>
          <w:i/>
        </w:rPr>
        <w:t>and</w:t>
      </w:r>
      <w:r>
        <w:t xml:space="preserve"> (2) that the charging station, which dispenses electricity to many EV owners, is “utilized by one </w:t>
      </w:r>
      <w:r>
        <w:lastRenderedPageBreak/>
        <w:t xml:space="preserve">consumer.” Because Georgia Power failed to prove </w:t>
      </w:r>
      <w:r>
        <w:rPr>
          <w:i/>
        </w:rPr>
        <w:t xml:space="preserve">either </w:t>
      </w:r>
      <w:r>
        <w:t>of these essential elements, the Commission should reverse the Initial Decision.</w:t>
      </w:r>
    </w:p>
    <w:bookmarkEnd w:id="1"/>
    <w:p>
      <w:pPr>
        <w:spacing w:line="480" w:lineRule="auto"/>
      </w:pPr>
      <w:r>
        <w:tab/>
        <w:t xml:space="preserve">To meet the 900 kW connected load requirement, Georgia Power relies solely on the nameplate input rating of the charging station’s “rectifiers,” which convert AC power to DC power so that the latter can be used to charge EV car batteries. The Hearing Officer ruled that because rectifiers have nameplate ratings, those ratings could be used to determine connected load. But not all equipment that has a nameplate rating qualifies as “connected load” under the large load exception. For example, under established Commission precedent, the nameplate ratings for receptacles and internal transformers are not included in a large load count. Rather, the load-consuming equipment </w:t>
      </w:r>
      <w:r>
        <w:rPr>
          <w:i/>
        </w:rPr>
        <w:t>downstream</w:t>
      </w:r>
      <w:r>
        <w:t xml:space="preserve"> of receptacles and transformers constitutes connected load. </w:t>
      </w:r>
    </w:p>
    <w:p>
      <w:pPr>
        <w:spacing w:line="480" w:lineRule="auto"/>
        <w:ind w:firstLine="720"/>
      </w:pPr>
      <w:r>
        <w:t>Rectifiers, like transformers, do not consume electricity; they simply convert electricity from one form to another as part of an internal electrical distribution system. The rectifiers at issue in this case convert AC power to DC power by “rectifying” and smoothing the sine waves of the electricity. Similarly, transformers can convert electricity from high to low voltage, such as from 480 volts down to 120 volts. With both rectifiers and transformers, the electricity is not consumed by the equipment; it continues to flow downstream until it is ultimately consumed by load consuming equipment. At the charging station, the AC electricity flows through the rectifiers and continues downstream as DC electricity that is ultimately used by EV batteries. If the rectifiers did consume the electricity, there would be none left for the EVs that drive up and plug in. Commission precedent holds that because transformers do not consume electricity, they and their nameplate ratings are not included as connected load in a large load count. The same reasoning applies to rectifiers.</w:t>
      </w:r>
    </w:p>
    <w:p>
      <w:pPr>
        <w:spacing w:line="480" w:lineRule="auto"/>
        <w:ind w:firstLine="720"/>
      </w:pPr>
      <w:r>
        <w:lastRenderedPageBreak/>
        <w:t xml:space="preserve">Rectifiers are also like receptacles, the electric outlets into which electric consuming equipment is plugged, which despite their nameplate ratings, do not count as connected load either. The receptacles themselves only pass along the electricity to the equipment that actually consumes the electricity, i.e., the load. Similarly, electricity does not flow through the charging station’s rectifiers unless and until an EV plugs in. Then, like receptacles, the electricity flows through the rectifiers downstream to the plugged-in equipment that actually consumes the electricity. At the charging station, the equipment that consumes the electricity is the EV, </w:t>
      </w:r>
      <w:r>
        <w:rPr>
          <w:i/>
        </w:rPr>
        <w:t>not</w:t>
      </w:r>
      <w:r>
        <w:t xml:space="preserve"> the rectifiers. The Commission has ruled that the nameplate ratings of receptacles themselves are not included in a large load count. The same rule should apply to the charging station’s internal rectifiers.</w:t>
      </w:r>
    </w:p>
    <w:p>
      <w:pPr>
        <w:spacing w:line="480" w:lineRule="auto"/>
        <w:ind w:firstLine="720"/>
      </w:pPr>
      <w:r>
        <w:t xml:space="preserve">Because the rectifiers do not count as connected load, Georgia Power failed to meet its burden to prove that the large load exception applies. But even if Georgia Power were to argue that the amount of the “load” consumed by EV car batteries adds up to more than 900 kW of connected load, such an argument would fail because the potential load of car batteries depends on off-Premises equipment owned by unknown third parties—a speculative proposition at best. The Commission should reject Georgia Power’s invitation to establish a new rule that rectifiers, which (like transformers) convert but do not consume electricity and (like receptacles) remain inert until load-consuming equipment is plugged in, constitute “connected load.” </w:t>
      </w:r>
    </w:p>
    <w:p>
      <w:pPr>
        <w:spacing w:line="480" w:lineRule="auto"/>
        <w:ind w:firstLine="720"/>
      </w:pPr>
      <w:r>
        <w:t xml:space="preserve">Georgia Power would also have the Commission decide for the first time that an EV charging station that serves numerous independent drivers is “utilized by one consumer”—a conclusion barred by Georgia Supreme Court precedent. That Court held in another case involving </w:t>
      </w:r>
      <w:proofErr w:type="spellStart"/>
      <w:r>
        <w:t>Sawnee</w:t>
      </w:r>
      <w:proofErr w:type="spellEnd"/>
      <w:r>
        <w:t xml:space="preserve"> EMC that the “consumer” of electricity under the large load exception to the Territorial Act is the “the user of the final product and not a buyer for resale.” </w:t>
      </w:r>
      <w:proofErr w:type="spellStart"/>
      <w:r>
        <w:rPr>
          <w:i/>
        </w:rPr>
        <w:t>Sawnee</w:t>
      </w:r>
      <w:proofErr w:type="spellEnd"/>
      <w:r>
        <w:rPr>
          <w:i/>
        </w:rPr>
        <w:t xml:space="preserve"> EMC v. </w:t>
      </w:r>
      <w:r>
        <w:rPr>
          <w:i/>
        </w:rPr>
        <w:lastRenderedPageBreak/>
        <w:t xml:space="preserve">Ga. Public Serv. </w:t>
      </w:r>
      <w:proofErr w:type="spellStart"/>
      <w:r>
        <w:rPr>
          <w:i/>
        </w:rPr>
        <w:t>Comm’n</w:t>
      </w:r>
      <w:proofErr w:type="spellEnd"/>
      <w:r>
        <w:t>, 273 Ga. 702, 705 (2001). Applying that definition in this case is straightforward. The electricity flows from the utility through the charging station and into an EV battery. The final product is the DC electricity that is used to charge the EV battery. The user of the final product is the “consumer”—the owner of the EV. Because many EV owners consume electricity from the charging station, the Premises are not “utilized by one consumer.”</w:t>
      </w:r>
    </w:p>
    <w:p>
      <w:pPr>
        <w:spacing w:line="480" w:lineRule="auto"/>
        <w:ind w:firstLine="720"/>
      </w:pPr>
      <w:r>
        <w:t xml:space="preserve">Georgia Power and the Hearing Officer insufficiently distinguish the prior </w:t>
      </w:r>
      <w:proofErr w:type="spellStart"/>
      <w:r>
        <w:rPr>
          <w:i/>
        </w:rPr>
        <w:t>Sawnee</w:t>
      </w:r>
      <w:proofErr w:type="spellEnd"/>
      <w:r>
        <w:t xml:space="preserve"> case, which is controlling. Regardless of whether there is a single meter for the Premises, it strains reason to conclude that the charging station is the “end user of the final product,” because the EV owners then use the </w:t>
      </w:r>
      <w:r>
        <w:rPr>
          <w:i/>
        </w:rPr>
        <w:t>same</w:t>
      </w:r>
      <w:r>
        <w:t xml:space="preserve"> electricity to charge their car batteries </w:t>
      </w:r>
      <w:r>
        <w:rPr>
          <w:i/>
        </w:rPr>
        <w:t>after</w:t>
      </w:r>
      <w:r>
        <w:t xml:space="preserve"> it flows through the charging station. The EV owners are the “end users,” and the charging station, therefore, is not “utilized by one consumer.”</w:t>
      </w:r>
    </w:p>
    <w:p>
      <w:pPr>
        <w:spacing w:line="480" w:lineRule="auto"/>
        <w:ind w:firstLine="720"/>
      </w:pPr>
      <w:r>
        <w:t xml:space="preserve">This case accordingly does not justify the novel expansion of the large load exception that Georgia Power urges. Because Georgia Power failed to meet its high burden to prove that the rectifiers were connected load and that the charging station is used by only one consumer, </w:t>
      </w:r>
      <w:proofErr w:type="spellStart"/>
      <w:r>
        <w:t>Sawnee</w:t>
      </w:r>
      <w:proofErr w:type="spellEnd"/>
      <w:r>
        <w:t xml:space="preserve"> EMC respectfully requests that the Commission reverse the Initial Decision and hold that </w:t>
      </w:r>
      <w:proofErr w:type="spellStart"/>
      <w:r>
        <w:t>Sawnee</w:t>
      </w:r>
      <w:proofErr w:type="spellEnd"/>
      <w:r>
        <w:t xml:space="preserve"> EMC has the exclusive right to serve the Premises. </w:t>
      </w:r>
    </w:p>
    <w:p>
      <w:pPr>
        <w:spacing w:line="480" w:lineRule="auto"/>
        <w:jc w:val="center"/>
      </w:pPr>
      <w:r>
        <w:rPr>
          <w:b/>
        </w:rPr>
        <w:t>FACTUAL BACKGROUND</w:t>
      </w:r>
    </w:p>
    <w:p>
      <w:pPr>
        <w:spacing w:line="480" w:lineRule="auto"/>
      </w:pPr>
      <w:r>
        <w:tab/>
        <w:t xml:space="preserve">The Premises at issue is an EV charging station located in the parking lot of the John’s Creek Town Center Shopping Mall, at 3630 Peachtree Parkway, Suwanee, Georgia 30024. (T. 24:22–25:9.) The Premises is within </w:t>
      </w:r>
      <w:proofErr w:type="spellStart"/>
      <w:r>
        <w:t>Sawnee</w:t>
      </w:r>
      <w:proofErr w:type="spellEnd"/>
      <w:r>
        <w:t xml:space="preserve"> EMC’s service territory. (T. 32:6-8.) The purpose of the station is to provide a charging service to electric vehicles. (T. 45:25-46:3.) Intervener Electrify America, LLC is the owner of the charging station. (T. 166:9-10.)</w:t>
      </w:r>
    </w:p>
    <w:p>
      <w:pPr>
        <w:spacing w:line="480" w:lineRule="auto"/>
        <w:ind w:firstLine="720"/>
      </w:pPr>
      <w:r>
        <w:lastRenderedPageBreak/>
        <w:t>The charging station consists of six power cabinets that are connected to four electric vehicle dispensers. (T. 120:11-13.) Each power cabinet contains equipment called a rectifier for converting alternating electric current (AC) to direct current (DC). (T. 153:11-13.) The nameplate input rating of each of the six rectifiers is 190 kW, totaling 1,140 kW for all six. (T. 130:21-23.) A rectifier converts, not consumes, the electricity by changing the sine wave of the AC power using a process that includes rectifying the sine wave and smoothing the resultant positive sine waves. (T. 66:15-16.) The resulting conversion creates DC power that can be used to charge an electric vehicle’s battery. (T. 66:16-17.)</w:t>
      </w:r>
    </w:p>
    <w:p>
      <w:pPr>
        <w:spacing w:line="480" w:lineRule="auto"/>
        <w:ind w:firstLine="720"/>
      </w:pPr>
      <w:r>
        <w:t>The rectifiers on the Premises are essentially inert unless and until a vehicle pulls up and is connected to the charger. (T. 66:26-30.) That is because unless and until a vehicle pulls up and is connected to the charger, the rectifier is not operating to convert AC power to DC power. (</w:t>
      </w:r>
      <w:r>
        <w:rPr>
          <w:i/>
        </w:rPr>
        <w:t>Id.)</w:t>
      </w:r>
      <w:r>
        <w:t xml:space="preserve"> Various auxiliary equipment at the charging station does consume some electricity, even when no electric vehicles are plugged into the dispensers, such as to operate LCD panels on the dispensers. (T. 67:31–68:3.) The amount of this auxiliary energy consumption, however, would not approach 900 kW. (T. 249:1-8.) </w:t>
      </w:r>
    </w:p>
    <w:p>
      <w:pPr>
        <w:spacing w:line="480" w:lineRule="auto"/>
        <w:ind w:firstLine="720"/>
      </w:pPr>
      <w:r>
        <w:t xml:space="preserve">Each dispenser has two cords for charging electric vehicle batteries; one end of the cord is attached to the dispenser and the other end plugs into the vehicle. (T. 25:11-18.) Each dispenser also has an LCD display that provides instructions and other information to the vehicle owner. (T. 25:17-18.) SEMC Exhibit 1 is a photograph showing the four dispensers on the Premises. </w:t>
      </w:r>
    </w:p>
    <w:p>
      <w:pPr>
        <w:spacing w:line="480" w:lineRule="auto"/>
        <w:ind w:firstLine="720"/>
      </w:pPr>
      <w:r>
        <w:t xml:space="preserve">Over </w:t>
      </w:r>
      <w:proofErr w:type="spellStart"/>
      <w:r>
        <w:t>Sawnee</w:t>
      </w:r>
      <w:proofErr w:type="spellEnd"/>
      <w:r>
        <w:t xml:space="preserve"> EMC’s objection, Georgia Power extended electric service to the Premises, which began operating in March or April 2021. (T. 26:20-22; 169:16-18.)</w:t>
      </w:r>
    </w:p>
    <w:p>
      <w:pPr>
        <w:keepNext/>
        <w:spacing w:line="480" w:lineRule="auto"/>
        <w:jc w:val="center"/>
      </w:pPr>
      <w:r>
        <w:rPr>
          <w:b/>
        </w:rPr>
        <w:lastRenderedPageBreak/>
        <w:t>ARGUMENT</w:t>
      </w:r>
    </w:p>
    <w:p>
      <w:pPr>
        <w:pStyle w:val="Heading3"/>
        <w:keepNext/>
        <w:keepLines/>
        <w:numPr>
          <w:ilvl w:val="1"/>
          <w:numId w:val="11"/>
        </w:numPr>
        <w:rPr>
          <w:b/>
        </w:rPr>
      </w:pPr>
      <w:r>
        <w:rPr>
          <w:rFonts w:eastAsiaTheme="minorHAnsi"/>
          <w:b/>
        </w:rPr>
        <w:t>The</w:t>
      </w:r>
      <w:r>
        <w:rPr>
          <w:b/>
        </w:rPr>
        <w:t xml:space="preserve"> Large Load Exception and Georgia Power’s Burden</w:t>
      </w:r>
    </w:p>
    <w:p>
      <w:pPr>
        <w:spacing w:line="480" w:lineRule="auto"/>
        <w:ind w:firstLine="720"/>
      </w:pPr>
      <w:r>
        <w:t>The general rule under the Georgia Territorial Electric Service Act is that an electric supplier has the exclusive right to serve all new premises built within that electric supplier’s assigned service area. O.C.G.A. § 46-3-3(1). Under the large load exception of the Territorial Act, a premises may qualify for customer choice if the service is to:</w:t>
      </w:r>
    </w:p>
    <w:p>
      <w:pPr>
        <w:ind w:left="720" w:right="720"/>
        <w:contextualSpacing/>
        <w:jc w:val="both"/>
      </w:pPr>
      <w:r>
        <w:t>one or more new premises . . . if utilized by one consumer and having single-metered service and a connected load which, at the time of initial full operation of the premises, is 900 kilowatts or greater (excluding redundant equipment) . . . .</w:t>
      </w:r>
    </w:p>
    <w:p>
      <w:pPr>
        <w:ind w:left="720" w:right="720"/>
        <w:contextualSpacing/>
        <w:jc w:val="both"/>
      </w:pPr>
    </w:p>
    <w:p>
      <w:pPr>
        <w:spacing w:line="480" w:lineRule="auto"/>
      </w:pPr>
      <w:r>
        <w:t xml:space="preserve">O.C.G.A. § 46-3-8(a). Because the Premises is located within </w:t>
      </w:r>
      <w:proofErr w:type="spellStart"/>
      <w:r>
        <w:t>Sawnee</w:t>
      </w:r>
      <w:proofErr w:type="spellEnd"/>
      <w:r>
        <w:t xml:space="preserve"> EMC’s assigned service area, Georgia Power, as the party seeking to take advantage of the large load exception, bears the burden to prove that it applies. (Initial Decision at 9); </w:t>
      </w:r>
      <w:r>
        <w:rPr>
          <w:i/>
        </w:rPr>
        <w:t>Coweta-Fayette EMC v. City of Fairburn</w:t>
      </w:r>
      <w:r>
        <w:t xml:space="preserve">, Docket No. </w:t>
      </w:r>
      <w:bookmarkStart w:id="2" w:name="OLE_LINK4"/>
      <w:r>
        <w:t>10195</w:t>
      </w:r>
      <w:bookmarkEnd w:id="2"/>
      <w:r>
        <w:t>-U, at 33 (Initial Decision Apr. 11, 2000). And as an exception to the general rule of exclusive territorial assignments under the Territorial Act, the large load exception must be “strictly construed” and “[a]</w:t>
      </w:r>
      <w:proofErr w:type="spellStart"/>
      <w:r>
        <w:t>ll</w:t>
      </w:r>
      <w:proofErr w:type="spellEnd"/>
      <w:r>
        <w:t xml:space="preserve"> doubts should be resolved in favor of the general statutory rule, rather than in favor of the exemption.” </w:t>
      </w:r>
      <w:proofErr w:type="spellStart"/>
      <w:r>
        <w:rPr>
          <w:i/>
        </w:rPr>
        <w:t>Sawnee</w:t>
      </w:r>
      <w:proofErr w:type="spellEnd"/>
      <w:r>
        <w:rPr>
          <w:i/>
        </w:rPr>
        <w:t xml:space="preserve"> EMC, </w:t>
      </w:r>
      <w:r>
        <w:t>273 Ga. at 704.</w:t>
      </w:r>
    </w:p>
    <w:p>
      <w:pPr>
        <w:spacing w:line="480" w:lineRule="auto"/>
      </w:pPr>
      <w:r>
        <w:tab/>
        <w:t xml:space="preserve">In this case, Georgia Power not only seeks to apply the large load exception in its favor but also asks the Commission to significantly </w:t>
      </w:r>
      <w:r>
        <w:rPr>
          <w:i/>
        </w:rPr>
        <w:t>expand</w:t>
      </w:r>
      <w:r>
        <w:t xml:space="preserve"> the exception beyond the scope of its prior application. The Hearing Official failed to give the proper weight to Georgia Power’s heavy burden and to resolve all doubts in favor of the general statutory rule, as Georgia law requires. </w:t>
      </w:r>
      <w:r>
        <w:rPr>
          <w:i/>
        </w:rPr>
        <w:t>See id.</w:t>
      </w:r>
      <w:r>
        <w:t xml:space="preserve"> At the very least, as shown in the record and arguments below, doubts exist in this case as to whether Electrify America’s rectifiers actually “consume” electricity in order to constitute “connected load” and there are doubts about whether the charging station is “utilized by one consumer.” When these doubts are resolved in favor of the general statutory rule, the large load exception does not extend to Electrify America’s charging station. </w:t>
      </w:r>
    </w:p>
    <w:p>
      <w:pPr>
        <w:pStyle w:val="Heading3"/>
        <w:keepNext/>
        <w:keepLines/>
        <w:numPr>
          <w:ilvl w:val="1"/>
          <w:numId w:val="11"/>
        </w:numPr>
        <w:rPr>
          <w:b/>
        </w:rPr>
      </w:pPr>
      <w:r>
        <w:rPr>
          <w:b/>
        </w:rPr>
        <w:lastRenderedPageBreak/>
        <w:t>Rectifiers Are Not “Connected Load.”</w:t>
      </w:r>
    </w:p>
    <w:p>
      <w:pPr>
        <w:spacing w:line="480" w:lineRule="auto"/>
        <w:ind w:firstLine="720"/>
      </w:pPr>
      <w:r>
        <w:t xml:space="preserve">The plain language of the large load exception requires a determination of “load” that is “connected.” O.C.G.A. § 46-3-8(a). The Hearing Officer acknowledged that “[n]o previous case in Georgia has addressed whether a rectifier constitutes connected load.” (Initial Decision at 12.) This is true. The Hearing Officer, however, concluded that because “Commission precedent dictates [that] the best avenue for determining how much load is connected is the nameplate capacity on the installed </w:t>
      </w:r>
      <w:r>
        <w:rPr>
          <w:i/>
        </w:rPr>
        <w:t>equipment</w:t>
      </w:r>
      <w:r>
        <w:t xml:space="preserve"> . . . the six power cabinets and four rectifiers are ‘connected load’ within the meaning of that term contained in the Act because the nameplate rating on the </w:t>
      </w:r>
      <w:r>
        <w:rPr>
          <w:i/>
        </w:rPr>
        <w:t xml:space="preserve">equipment </w:t>
      </w:r>
      <w:r>
        <w:t xml:space="preserve">exceeds 900 kW at initial full operation.” </w:t>
      </w:r>
      <w:bookmarkStart w:id="3" w:name="OLE_LINK1"/>
      <w:r>
        <w:t>(</w:t>
      </w:r>
      <w:r>
        <w:rPr>
          <w:i/>
        </w:rPr>
        <w:t>Id.</w:t>
      </w:r>
      <w:r>
        <w:t xml:space="preserve"> (emphasis added).) </w:t>
      </w:r>
      <w:bookmarkEnd w:id="3"/>
      <w:r>
        <w:t>The Initial Decision further states “[</w:t>
      </w:r>
      <w:proofErr w:type="spellStart"/>
      <w:r>
        <w:t>i</w:t>
      </w:r>
      <w:proofErr w:type="spellEnd"/>
      <w:r>
        <w:t xml:space="preserve">]t is the conclusion of the Hearing Officer that the nameplate label of the connected electrical </w:t>
      </w:r>
      <w:r>
        <w:rPr>
          <w:i/>
        </w:rPr>
        <w:t>equipment</w:t>
      </w:r>
      <w:r>
        <w:t xml:space="preserve"> is the determinative factor and the appropriate metric for determining ‘connected load’ under the Territorial Act.” </w:t>
      </w:r>
      <w:bookmarkStart w:id="4" w:name="OLE_LINK13"/>
      <w:r>
        <w:t>(</w:t>
      </w:r>
      <w:r>
        <w:rPr>
          <w:i/>
        </w:rPr>
        <w:t>Id.</w:t>
      </w:r>
      <w:r>
        <w:t xml:space="preserve"> (emphasis added).)</w:t>
      </w:r>
      <w:bookmarkEnd w:id="4"/>
    </w:p>
    <w:p>
      <w:pPr>
        <w:spacing w:line="480" w:lineRule="auto"/>
        <w:ind w:firstLine="720"/>
      </w:pPr>
      <w:r>
        <w:t xml:space="preserve">By focusing on connected “equipment,” the Hearing Officer skipped the critical first step in the analysis—whether rectifiers are connected “load.” This determination must be made </w:t>
      </w:r>
      <w:r>
        <w:rPr>
          <w:i/>
        </w:rPr>
        <w:t>before</w:t>
      </w:r>
      <w:r>
        <w:t xml:space="preserve"> identifying the proper measurement of any such “connected load.” Equipment is not “connected load” under the Territorial Act simply because it has a nameplate rating. And the Hearing Officer’s decision based on this premise is contrary to Commission precedent. </w:t>
      </w:r>
    </w:p>
    <w:p>
      <w:pPr>
        <w:pStyle w:val="Heading3"/>
        <w:keepNext/>
        <w:keepLines/>
        <w:numPr>
          <w:ilvl w:val="3"/>
          <w:numId w:val="11"/>
        </w:numPr>
        <w:ind w:left="1440" w:hanging="720"/>
        <w:rPr>
          <w:b/>
        </w:rPr>
      </w:pPr>
      <w:r>
        <w:rPr>
          <w:b/>
        </w:rPr>
        <w:lastRenderedPageBreak/>
        <w:t xml:space="preserve">The key phrase is “connected load,” not “connected equipment.” </w:t>
      </w:r>
    </w:p>
    <w:p>
      <w:pPr>
        <w:pStyle w:val="Heading3"/>
        <w:keepNext/>
        <w:keepLines/>
        <w:spacing w:after="0" w:line="480" w:lineRule="auto"/>
        <w:ind w:firstLine="720"/>
        <w:rPr>
          <w:b/>
        </w:rPr>
      </w:pPr>
      <w:r>
        <w:t xml:space="preserve">The large load exception requires a determination of connected “load,” not connected “equipment.” The General Assembly could have used the phrase “connected equipment,” but it didn’t. It used the phrase “connected load,” and the word “load” must be given meaning. The Hearing Officer, in focusing on connected “equipment,” failed to make this distinction. Prior Commission precedent makes clear that not all connected “equipment” constitutes connected “load.”  </w:t>
      </w:r>
    </w:p>
    <w:p>
      <w:pPr>
        <w:pStyle w:val="Heading3"/>
        <w:keepNext/>
        <w:keepLines/>
        <w:numPr>
          <w:ilvl w:val="3"/>
          <w:numId w:val="11"/>
        </w:numPr>
        <w:ind w:left="1440" w:hanging="720"/>
        <w:rPr>
          <w:b/>
        </w:rPr>
      </w:pPr>
      <w:r>
        <w:rPr>
          <w:b/>
        </w:rPr>
        <w:t>Commission precedent regarding “connected load”</w:t>
      </w:r>
    </w:p>
    <w:p>
      <w:pPr>
        <w:spacing w:line="480" w:lineRule="auto"/>
      </w:pPr>
      <w:r>
        <w:tab/>
        <w:t xml:space="preserve">Commission precedent draws a clear distinction between the components of a customer’s electrical system that can serve potential load, like transformers and receptacles, and the load-consuming equipment actually connected to that system. The rule is simple: the “connected load” is not the customer’s electrical system or components thereof; rather, it is the load-consuming equipment connected to that system. </w:t>
      </w:r>
      <w:r>
        <w:rPr>
          <w:i/>
        </w:rPr>
        <w:t>See Troup EMC v. Ga. Power Co</w:t>
      </w:r>
      <w:r>
        <w:t xml:space="preserve">., Docket No. 3827-U (Initial Decision Jan. 25, 1989) (receptacles are not connected load); </w:t>
      </w:r>
      <w:r>
        <w:rPr>
          <w:i/>
        </w:rPr>
        <w:t xml:space="preserve">Ga Power Co. v. Sumter </w:t>
      </w:r>
      <w:proofErr w:type="spellStart"/>
      <w:r>
        <w:rPr>
          <w:i/>
        </w:rPr>
        <w:t>Cty</w:t>
      </w:r>
      <w:proofErr w:type="spellEnd"/>
      <w:r>
        <w:rPr>
          <w:i/>
        </w:rPr>
        <w:t>. EMC</w:t>
      </w:r>
      <w:r>
        <w:t>, Docket No. 7821-U (Initial Decision Aug. 3, 1998) (internal transformers are not connected load). Electrify America’s rectifiers are not load consuming and are, instead, parts of an internal electrical distribution system. Therefore, the rectifiers on the Premises are not “connected load” under the large load exception.</w:t>
      </w:r>
    </w:p>
    <w:p>
      <w:pPr>
        <w:spacing w:line="480" w:lineRule="auto"/>
        <w:ind w:firstLine="720"/>
      </w:pPr>
      <w:r>
        <w:t xml:space="preserve">The Commission’s treatment of receptacle outlets is instructive. “Receptacles are electric outlets into which portable electric equipment is plugged.” </w:t>
      </w:r>
      <w:r>
        <w:rPr>
          <w:i/>
        </w:rPr>
        <w:t xml:space="preserve">Troup EMC </w:t>
      </w:r>
      <w:r>
        <w:t xml:space="preserve">(Initial Decision) at 7. Portable electric equipment, such as computers, televisions, and other equipment, can be plugged into a receptacle and thereby connected to a building’s power supply. The Commission has consistently held that a receptacle outlet in a building does </w:t>
      </w:r>
      <w:r>
        <w:rPr>
          <w:i/>
        </w:rPr>
        <w:t>not</w:t>
      </w:r>
      <w:r>
        <w:t xml:space="preserve"> constitute connected load. Only </w:t>
      </w:r>
      <w:r>
        <w:lastRenderedPageBreak/>
        <w:t>the actual load of load-consuming equipment plugged into a receptacle outlet on the date of initial full operation may be included in a load count.</w:t>
      </w:r>
    </w:p>
    <w:p>
      <w:pPr>
        <w:spacing w:line="480" w:lineRule="auto"/>
        <w:ind w:firstLine="720"/>
      </w:pPr>
      <w:r>
        <w:t xml:space="preserve">For example, in </w:t>
      </w:r>
      <w:bookmarkStart w:id="5" w:name="OLE_LINK12"/>
      <w:r>
        <w:rPr>
          <w:i/>
        </w:rPr>
        <w:t>Troup EMC</w:t>
      </w:r>
      <w:bookmarkEnd w:id="5"/>
      <w:r>
        <w:t xml:space="preserve">, Georgia Power argued that in calculating the receptacle load for a new school, the load count should be based on the load that would be generated if every receptacle were in use simultaneously. </w:t>
      </w:r>
      <w:r>
        <w:rPr>
          <w:i/>
        </w:rPr>
        <w:t>Troup EMC</w:t>
      </w:r>
      <w:r>
        <w:t xml:space="preserve"> (Initial Decision) at 12. This could be determined based on the electrical plans, which included loads for each circuit, including receptacles. </w:t>
      </w:r>
      <w:r>
        <w:rPr>
          <w:i/>
        </w:rPr>
        <w:t xml:space="preserve">Id. </w:t>
      </w:r>
      <w:r>
        <w:t xml:space="preserve">at 7. Based on the number of receptacles shown on the plans (396), a volt ampere rating for each receptacle (180 VA), and a demand factor, the corresponding receptacle load would be 64 kW, which was enough in that case to push the load count over 900 kW. </w:t>
      </w:r>
      <w:r>
        <w:rPr>
          <w:i/>
        </w:rPr>
        <w:t>Id.</w:t>
      </w:r>
      <w:r>
        <w:t xml:space="preserve"> at 9. The Commission, however, rejected this methodology for determining receptacle load because it was based on a rating for each receptacle, rather than the load of the items of load-consuming equipment that would actually be plugged into the receptacles at the time of initial full operation. </w:t>
      </w:r>
      <w:r>
        <w:rPr>
          <w:i/>
        </w:rPr>
        <w:t xml:space="preserve">Id. </w:t>
      </w:r>
      <w:r>
        <w:t xml:space="preserve">at 13. The Commission concluded that receptacle load must reflect “the actual load at the time the premises begin operation” based on the “volt ampere ratings and demand factors for each piece of equipment” plugged in at the time of initial full operation. </w:t>
      </w:r>
      <w:r>
        <w:rPr>
          <w:i/>
        </w:rPr>
        <w:t xml:space="preserve">Id. </w:t>
      </w:r>
      <w:r>
        <w:t xml:space="preserve">at 13, 14. This holding makes sense, because it is the load-consuming </w:t>
      </w:r>
      <w:r>
        <w:rPr>
          <w:i/>
        </w:rPr>
        <w:t>equipment</w:t>
      </w:r>
      <w:r>
        <w:t xml:space="preserve"> connected to receptacles that actually consumes the electricity and constitutes a load on the customer’s electrical system.</w:t>
      </w:r>
    </w:p>
    <w:p>
      <w:pPr>
        <w:spacing w:line="480" w:lineRule="auto"/>
        <w:ind w:firstLine="720"/>
      </w:pPr>
      <w:r>
        <w:t xml:space="preserve">The Commission has taken a similar approach with respect to a customer’s internal transformers. As </w:t>
      </w:r>
      <w:proofErr w:type="spellStart"/>
      <w:r>
        <w:t>Sawnee</w:t>
      </w:r>
      <w:proofErr w:type="spellEnd"/>
      <w:r>
        <w:t xml:space="preserve"> EMC’s expert witness, Kevin Mara, explained in this case, commercial and industrial customers often have internal transformers on site (which are distinct from the electric supplier’s transformer). (T. 72:4-7.) These transformers convert AC voltage from a high voltage to a low voltage, such as </w:t>
      </w:r>
      <w:bookmarkStart w:id="6" w:name="OLE_LINK3"/>
      <w:r>
        <w:t>480 volts down to 120 volts</w:t>
      </w:r>
      <w:bookmarkEnd w:id="6"/>
      <w:r>
        <w:t xml:space="preserve">. (T. 72:1-2.) The nameplate rating </w:t>
      </w:r>
      <w:r>
        <w:lastRenderedPageBreak/>
        <w:t xml:space="preserve">on the transformer is the maximum power that can pass through the transformer at a given time. (T. 72:2-4.) </w:t>
      </w:r>
    </w:p>
    <w:p>
      <w:pPr>
        <w:spacing w:line="480" w:lineRule="auto"/>
        <w:ind w:firstLine="720"/>
      </w:pPr>
      <w:r>
        <w:t xml:space="preserve">In </w:t>
      </w:r>
      <w:r>
        <w:rPr>
          <w:i/>
        </w:rPr>
        <w:t>Georgia Power Co. v. Sumter County EMC</w:t>
      </w:r>
      <w:r>
        <w:t xml:space="preserve">, Docket No. 7821-U (Initial Decision Aug. 3, 1998), the Commission addressed whether the nameplate ratings of a customer’s internal transformers could be included in a load count. </w:t>
      </w:r>
      <w:bookmarkStart w:id="7" w:name="OLE_LINK19"/>
      <w:r>
        <w:t>Sumter County EMC</w:t>
      </w:r>
      <w:bookmarkEnd w:id="7"/>
      <w:r>
        <w:t xml:space="preserve">’s expert witness testified that because security equipment installed at a jail was not readily accessible, he relied on the nameplate capacity ratings of internal transformers installed to serve that security equipment. </w:t>
      </w:r>
      <w:r>
        <w:rPr>
          <w:i/>
        </w:rPr>
        <w:t>Sumter County EMC</w:t>
      </w:r>
      <w:r>
        <w:t xml:space="preserve"> (Initial Decision) at 12-13. Specifically, he relied on “the maximum capacity ratings for small transformers located inside the locking control panels and master communications stations (instead of any manufacturer’s catalog, nameplate or specification data for such security devices themselves).” </w:t>
      </w:r>
      <w:r>
        <w:rPr>
          <w:i/>
        </w:rPr>
        <w:t xml:space="preserve">Id. </w:t>
      </w:r>
      <w:r>
        <w:t xml:space="preserve">at 32. The hearing officer, however, rejected this methodology, relying on the testimony of John Matthews (for Georgia Power) that much of the downstream security equipment had not been installed and “that the security system actually installed and drawing a connected load” was considerably scaled back from that called for in the design plans and had a “significantly lower power consumption and connected load.” </w:t>
      </w:r>
      <w:r>
        <w:rPr>
          <w:i/>
        </w:rPr>
        <w:t xml:space="preserve">Id. </w:t>
      </w:r>
      <w:r>
        <w:t xml:space="preserve">at 33. The hearing officer thus concluded that the connected load could not be calculated based on the capacity nameplate ratings of such transformers. Rather, the relevant inquiry focused on the equipment installed downstream from these transformers, i.e., the “security system </w:t>
      </w:r>
      <w:r>
        <w:rPr>
          <w:i/>
        </w:rPr>
        <w:t>actually installed</w:t>
      </w:r>
      <w:r>
        <w:t xml:space="preserve"> and </w:t>
      </w:r>
      <w:r>
        <w:rPr>
          <w:i/>
        </w:rPr>
        <w:t>drawing</w:t>
      </w:r>
      <w:r>
        <w:t xml:space="preserve"> a </w:t>
      </w:r>
      <w:r>
        <w:rPr>
          <w:i/>
        </w:rPr>
        <w:t>connected</w:t>
      </w:r>
      <w:r>
        <w:t xml:space="preserve"> load.” (</w:t>
      </w:r>
      <w:r>
        <w:rPr>
          <w:i/>
        </w:rPr>
        <w:t>Id</w:t>
      </w:r>
      <w:r>
        <w:t xml:space="preserve">. (emphasis added).) The hearing officer’s initial decision in </w:t>
      </w:r>
      <w:r>
        <w:rPr>
          <w:i/>
        </w:rPr>
        <w:t>Sumter County EMC</w:t>
      </w:r>
      <w:r>
        <w:t xml:space="preserve"> that the nameplate ratings of internal transformers do not count as connected load was then affirmed by the full Commission, the Superior Court of Fulton County, and the Georgia Court of Appeals. </w:t>
      </w:r>
    </w:p>
    <w:p>
      <w:pPr>
        <w:spacing w:line="480" w:lineRule="auto"/>
        <w:ind w:firstLine="720"/>
      </w:pPr>
      <w:r>
        <w:lastRenderedPageBreak/>
        <w:t xml:space="preserve">Thus, settled Commission (and judicial) precedent draws a clear distinction between the components of a customer’s electrical system, like internal transformers and receptacle outlets that can serve potential load, and the load-consuming equipment actually connected to that electrical system. </w:t>
      </w:r>
    </w:p>
    <w:p>
      <w:pPr>
        <w:pStyle w:val="Heading3"/>
        <w:keepNext/>
        <w:keepLines/>
        <w:numPr>
          <w:ilvl w:val="3"/>
          <w:numId w:val="11"/>
        </w:numPr>
        <w:ind w:left="1440" w:hanging="720"/>
        <w:rPr>
          <w:b/>
        </w:rPr>
      </w:pPr>
      <w:r>
        <w:rPr>
          <w:b/>
        </w:rPr>
        <w:t>The rectifiers are part of Electrify America’s electrical distribution system and are not load-consuming equipment.</w:t>
      </w:r>
    </w:p>
    <w:p>
      <w:pPr>
        <w:spacing w:line="480" w:lineRule="auto"/>
        <w:ind w:firstLine="720"/>
        <w:rPr>
          <w:rFonts w:eastAsia="Calibri" w:cs="Times New Roman"/>
        </w:rPr>
      </w:pPr>
      <w:r>
        <w:rPr>
          <w:rFonts w:eastAsia="Calibri" w:cs="Times New Roman"/>
        </w:rPr>
        <w:t>Rectifiers are similar to both receptacles and internal customer transformers. As noted above, “[r]</w:t>
      </w:r>
      <w:proofErr w:type="spellStart"/>
      <w:r>
        <w:rPr>
          <w:rFonts w:eastAsia="Calibri" w:cs="Times New Roman"/>
        </w:rPr>
        <w:t>eceptacles</w:t>
      </w:r>
      <w:proofErr w:type="spellEnd"/>
      <w:r>
        <w:rPr>
          <w:rFonts w:eastAsia="Calibri" w:cs="Times New Roman"/>
        </w:rPr>
        <w:t xml:space="preserve"> are electric outlets into which portable electric equipment is plugged.” </w:t>
      </w:r>
      <w:r>
        <w:rPr>
          <w:rFonts w:eastAsia="Calibri" w:cs="Times New Roman"/>
          <w:i/>
        </w:rPr>
        <w:t>Troup EMC</w:t>
      </w:r>
      <w:r>
        <w:rPr>
          <w:rFonts w:eastAsia="Calibri" w:cs="Times New Roman"/>
        </w:rPr>
        <w:t xml:space="preserve"> (Initial Decision) at 7. Likewise, the rectifiers in this case serve dispensers into which “inherently mobile” electric vehicles can be plugged. (T. 227:2.) Like receptacles and internal transformers, receptacles do not consume electricity and are not load. Instead, for purposes of calculating “connected load” under the large load exception, the consumption of electricity is at the load actually connected, e.g., a battery being charged. (T. 71:23-25.) Just like an empty receptacle, a rectifier does not do anything, and has essentially zero load, unless and until something is plugged into the rectifier’s dispenser. (T. 67:19-20.) As Electrify America’s witness, </w:t>
      </w:r>
      <w:proofErr w:type="spellStart"/>
      <w:r>
        <w:rPr>
          <w:rFonts w:eastAsia="Calibri" w:cs="Times New Roman"/>
        </w:rPr>
        <w:t>Jigar</w:t>
      </w:r>
      <w:proofErr w:type="spellEnd"/>
      <w:r>
        <w:rPr>
          <w:rFonts w:eastAsia="Calibri" w:cs="Times New Roman"/>
        </w:rPr>
        <w:t xml:space="preserve"> Shah, testified:</w:t>
      </w:r>
    </w:p>
    <w:p>
      <w:pPr>
        <w:ind w:left="1440" w:right="720" w:hanging="720"/>
        <w:contextualSpacing/>
        <w:rPr>
          <w:rFonts w:eastAsia="Calibri" w:cs="Times New Roman"/>
        </w:rPr>
      </w:pPr>
      <w:r>
        <w:rPr>
          <w:rFonts w:eastAsia="Calibri" w:cs="Times New Roman"/>
        </w:rPr>
        <w:t>Q:</w:t>
      </w:r>
      <w:r>
        <w:rPr>
          <w:rFonts w:eastAsia="Calibri" w:cs="Times New Roman"/>
        </w:rPr>
        <w:tab/>
        <w:t xml:space="preserve">And if the vehicles are not pulled up and plugged in, the rectifiers in the power cabinets are not drawing any power to charge electric batteries; correct? </w:t>
      </w:r>
    </w:p>
    <w:p>
      <w:pPr>
        <w:ind w:left="720" w:right="720"/>
        <w:contextualSpacing/>
        <w:rPr>
          <w:rFonts w:eastAsia="Calibri" w:cs="Times New Roman"/>
        </w:rPr>
      </w:pPr>
    </w:p>
    <w:p>
      <w:pPr>
        <w:ind w:left="720" w:right="720"/>
        <w:contextualSpacing/>
        <w:rPr>
          <w:rFonts w:eastAsia="Calibri" w:cs="Times New Roman"/>
        </w:rPr>
      </w:pPr>
      <w:r>
        <w:rPr>
          <w:rFonts w:eastAsia="Calibri" w:cs="Times New Roman"/>
        </w:rPr>
        <w:t>A:</w:t>
      </w:r>
      <w:r>
        <w:rPr>
          <w:rFonts w:eastAsia="Calibri" w:cs="Times New Roman"/>
        </w:rPr>
        <w:tab/>
        <w:t>Correct. Because no long-term batteries are there at that time.</w:t>
      </w:r>
    </w:p>
    <w:p>
      <w:pPr>
        <w:ind w:right="720"/>
        <w:contextualSpacing/>
        <w:rPr>
          <w:rFonts w:eastAsia="Calibri" w:cs="Times New Roman"/>
        </w:rPr>
      </w:pPr>
    </w:p>
    <w:p>
      <w:pPr>
        <w:spacing w:line="480" w:lineRule="auto"/>
        <w:rPr>
          <w:rFonts w:eastAsia="Calibri" w:cs="Times New Roman"/>
        </w:rPr>
      </w:pPr>
      <w:r>
        <w:rPr>
          <w:rFonts w:eastAsia="Calibri" w:cs="Times New Roman"/>
        </w:rPr>
        <w:t xml:space="preserve">(T. 197:10-14.) As Mr. Mara explained, “a charger for your cell phone, the little white plug that you plug into the wall, it’s a rectifier, just a lot smaller. It does the same thing. And it sits in the wall until you plug in your phone.” (T. 91:11-14.) Similarly, aside from a minimal amount of electricity, the rectifiers at Electrify America’s facility just “sit there” until a vehicle owner pulls up and plugs in his or her car. </w:t>
      </w:r>
    </w:p>
    <w:p>
      <w:pPr>
        <w:spacing w:line="480" w:lineRule="auto"/>
        <w:ind w:firstLine="720"/>
        <w:rPr>
          <w:rFonts w:eastAsia="Calibri" w:cs="Times New Roman"/>
        </w:rPr>
      </w:pPr>
      <w:r>
        <w:rPr>
          <w:rFonts w:eastAsia="Calibri" w:cs="Times New Roman"/>
        </w:rPr>
        <w:lastRenderedPageBreak/>
        <w:t>Rectifiers are also similar to internal customer transformers. Both transformers and rectifiers can modify electricity from one form of electricity to another, without “consuming” the electricity for purposes of the large load exception. (</w:t>
      </w:r>
      <w:r>
        <w:rPr>
          <w:rFonts w:eastAsia="Calibri" w:cs="Times New Roman"/>
          <w:i/>
        </w:rPr>
        <w:t xml:space="preserve">See </w:t>
      </w:r>
      <w:r>
        <w:rPr>
          <w:rFonts w:eastAsia="Calibri" w:cs="Times New Roman"/>
        </w:rPr>
        <w:t xml:space="preserve">T. 72:14.) Transformers can convert AC voltage from a high voltage to a low voltage, such as 480 volts down to 120 volts. (T. 72:1-2.) Rectifiers can convert AC electricity to DC electricity by changing the sine wave. (T. 66:14-15.) Both form part of the customer’s internal electric system; neither is itself connected load. </w:t>
      </w:r>
    </w:p>
    <w:p>
      <w:pPr>
        <w:spacing w:line="480" w:lineRule="auto"/>
        <w:ind w:firstLine="720"/>
        <w:rPr>
          <w:rFonts w:eastAsia="Calibri" w:cs="Times New Roman"/>
        </w:rPr>
      </w:pPr>
      <w:r>
        <w:rPr>
          <w:rFonts w:eastAsia="Calibri" w:cs="Times New Roman"/>
        </w:rPr>
        <w:t xml:space="preserve">Receptacles have nameplate ratings (e.g., a rating of 180 VA in the </w:t>
      </w:r>
      <w:r>
        <w:rPr>
          <w:rFonts w:eastAsia="Calibri" w:cs="Times New Roman"/>
          <w:i/>
        </w:rPr>
        <w:t xml:space="preserve">Sumter County EMC </w:t>
      </w:r>
      <w:r>
        <w:rPr>
          <w:rFonts w:eastAsia="Calibri" w:cs="Times New Roman"/>
        </w:rPr>
        <w:t xml:space="preserve">case). Transformers also have nameplate ratings, e.g., reflecting the maximum power that can pass through the transformer at a given time. (T. 72:2-4.) Electrify America’s power cabinets likewise have nameplate ratings, reflecting maximum input (190 kW AC) and output (175 kW DC). (T. 129:28-31; Shah Exhibit JS-1). Under settled Commission precedent, however, receptacles and transformers do not constitute load, and it is improper to calculate connected load based on the nameplate rating of either. </w:t>
      </w:r>
    </w:p>
    <w:p>
      <w:pPr>
        <w:spacing w:line="480" w:lineRule="auto"/>
        <w:ind w:firstLine="720"/>
        <w:rPr>
          <w:rFonts w:eastAsia="Calibri" w:cs="Times New Roman"/>
        </w:rPr>
      </w:pPr>
      <w:r>
        <w:rPr>
          <w:rFonts w:eastAsia="Calibri" w:cs="Times New Roman"/>
        </w:rPr>
        <w:t>Nevertheless, all of Georgia Power’s witnesses used the nameplate ratings of Electrify America’s power cabinets (which house the rectifiers) as the sole basis for their load count. (</w:t>
      </w:r>
      <w:r>
        <w:rPr>
          <w:rFonts w:eastAsia="Calibri" w:cs="Times New Roman"/>
          <w:i/>
        </w:rPr>
        <w:t>See, e.g.</w:t>
      </w:r>
      <w:r>
        <w:rPr>
          <w:rFonts w:eastAsia="Calibri" w:cs="Times New Roman"/>
        </w:rPr>
        <w:t>,</w:t>
      </w:r>
      <w:r>
        <w:rPr>
          <w:rFonts w:eastAsia="Calibri" w:cs="Times New Roman"/>
          <w:i/>
        </w:rPr>
        <w:t xml:space="preserve"> </w:t>
      </w:r>
      <w:r>
        <w:rPr>
          <w:rFonts w:eastAsia="Calibri" w:cs="Times New Roman"/>
        </w:rPr>
        <w:t>T. 123:18–124:7; 130:21-23; 137:4–138:3; T. 153:5-10.) And the Hearing Officer erred by adopting that flawed approach.</w:t>
      </w:r>
    </w:p>
    <w:p>
      <w:pPr>
        <w:spacing w:line="480" w:lineRule="auto"/>
        <w:ind w:firstLine="720"/>
        <w:rPr>
          <w:rFonts w:eastAsia="Calibri" w:cs="Times New Roman"/>
        </w:rPr>
      </w:pPr>
      <w:r>
        <w:rPr>
          <w:rFonts w:eastAsia="Calibri" w:cs="Times New Roman"/>
        </w:rPr>
        <w:t xml:space="preserve">The Commission held in the </w:t>
      </w:r>
      <w:r>
        <w:rPr>
          <w:rFonts w:eastAsia="Calibri" w:cs="Times New Roman"/>
          <w:i/>
        </w:rPr>
        <w:t xml:space="preserve">Troup EMC </w:t>
      </w:r>
      <w:r>
        <w:rPr>
          <w:rFonts w:eastAsia="Calibri" w:cs="Times New Roman"/>
        </w:rPr>
        <w:t xml:space="preserve">case that it is improper to calculate receptacle load based on the ratings of empty receptacles. The Commission similarly held in the </w:t>
      </w:r>
      <w:r>
        <w:rPr>
          <w:rFonts w:eastAsia="Calibri" w:cs="Times New Roman"/>
          <w:i/>
        </w:rPr>
        <w:t>Sumter County EMC</w:t>
      </w:r>
      <w:r>
        <w:rPr>
          <w:rFonts w:eastAsia="Calibri" w:cs="Times New Roman"/>
        </w:rPr>
        <w:t xml:space="preserve"> case that it is improper to calculate the connected load served downstream from a customer’s internal transformer based on the rating of the transformer itself. But the rectifiers in an EV charging station are </w:t>
      </w:r>
      <w:r>
        <w:rPr>
          <w:rFonts w:eastAsia="Calibri" w:cs="Times New Roman"/>
          <w:i/>
        </w:rPr>
        <w:t>also</w:t>
      </w:r>
      <w:r>
        <w:rPr>
          <w:rFonts w:eastAsia="Calibri" w:cs="Times New Roman"/>
        </w:rPr>
        <w:t xml:space="preserve"> part of the customer’s electrical distribution system. They do not consume electricity and are not “connected” load. Under the plain language of the large load </w:t>
      </w:r>
      <w:r>
        <w:rPr>
          <w:rFonts w:eastAsia="Calibri" w:cs="Times New Roman"/>
        </w:rPr>
        <w:lastRenderedPageBreak/>
        <w:t xml:space="preserve">exception—which requires a calculation of “connected” load—and the holdings of </w:t>
      </w:r>
      <w:r>
        <w:rPr>
          <w:rFonts w:eastAsia="Calibri" w:cs="Times New Roman"/>
          <w:i/>
        </w:rPr>
        <w:t>Troup EMC</w:t>
      </w:r>
      <w:r>
        <w:rPr>
          <w:rFonts w:eastAsia="Calibri" w:cs="Times New Roman"/>
        </w:rPr>
        <w:t xml:space="preserve"> and </w:t>
      </w:r>
      <w:r>
        <w:rPr>
          <w:rFonts w:eastAsia="Calibri" w:cs="Times New Roman"/>
          <w:i/>
        </w:rPr>
        <w:t>Sumter County EMC</w:t>
      </w:r>
      <w:r>
        <w:rPr>
          <w:rFonts w:eastAsia="Calibri" w:cs="Times New Roman"/>
        </w:rPr>
        <w:t xml:space="preserve">, rectifiers are not connected load, and using their nameplate ratings in a load count is improper. </w:t>
      </w:r>
    </w:p>
    <w:p>
      <w:pPr>
        <w:spacing w:line="480" w:lineRule="auto"/>
        <w:ind w:firstLine="720"/>
        <w:rPr>
          <w:rFonts w:eastAsia="Calibri" w:cs="Times New Roman"/>
        </w:rPr>
      </w:pPr>
      <w:r>
        <w:rPr>
          <w:rFonts w:eastAsia="Calibri" w:cs="Times New Roman"/>
        </w:rPr>
        <w:t>Excluding the rectifiers from the load count leaves only a minimal amount of connected load used for auxiliary equipment, like LCD panels, which would not even approach 900 kW. (</w:t>
      </w:r>
      <w:r>
        <w:rPr>
          <w:rFonts w:eastAsia="Calibri" w:cs="Times New Roman"/>
          <w:i/>
        </w:rPr>
        <w:t xml:space="preserve">See </w:t>
      </w:r>
      <w:r>
        <w:rPr>
          <w:rFonts w:eastAsia="Calibri" w:cs="Times New Roman"/>
        </w:rPr>
        <w:t>T. 249:1-8.) Because Georgia Power’s connected load count depends on including the nameplate input rating for the rectifiers, and rectifiers should be excluded from the load calculation, Georgia Power has failed to prove that the Premises had more than 900 kW of connected load at the time of initial full operation.</w:t>
      </w:r>
    </w:p>
    <w:p>
      <w:pPr>
        <w:pStyle w:val="Heading3"/>
        <w:keepNext/>
        <w:keepLines/>
        <w:numPr>
          <w:ilvl w:val="3"/>
          <w:numId w:val="11"/>
        </w:numPr>
        <w:ind w:left="1440" w:hanging="720"/>
        <w:rPr>
          <w:b/>
        </w:rPr>
      </w:pPr>
      <w:r>
        <w:rPr>
          <w:b/>
        </w:rPr>
        <w:t>The equipment actually consuming electricity from the charging station is not “connected load” because it is unidentified, off-Premises equipment owned and controlled by third parties.</w:t>
      </w:r>
    </w:p>
    <w:p>
      <w:pPr>
        <w:spacing w:line="480" w:lineRule="auto"/>
        <w:ind w:firstLine="720"/>
      </w:pPr>
      <w:r>
        <w:t xml:space="preserve">To qualify for the large load exception, the connected load of a </w:t>
      </w:r>
      <w:r>
        <w:rPr>
          <w:i/>
        </w:rPr>
        <w:t>premises</w:t>
      </w:r>
      <w:r>
        <w:t xml:space="preserve"> must be 900 kW or greater. A connected load count cannot extend </w:t>
      </w:r>
      <w:r>
        <w:rPr>
          <w:i/>
        </w:rPr>
        <w:t xml:space="preserve">beyond </w:t>
      </w:r>
      <w:r>
        <w:t xml:space="preserve">the premises to include equipment owned and controlled by third parties that might one day be brought onto the premises and plugged in. </w:t>
      </w:r>
    </w:p>
    <w:p>
      <w:pPr>
        <w:spacing w:line="480" w:lineRule="auto"/>
        <w:ind w:firstLine="720"/>
      </w:pPr>
      <w:r>
        <w:t xml:space="preserve">Under the large load exception of the Territorial Act, customer choice is available to “one or more new </w:t>
      </w:r>
      <w:r>
        <w:rPr>
          <w:i/>
        </w:rPr>
        <w:t xml:space="preserve">premises </w:t>
      </w:r>
      <w:r>
        <w:t xml:space="preserve">(but if more than one, such premises must be located on the same tract or on contiguous tracts of land) . . . if utilized by </w:t>
      </w:r>
      <w:r>
        <w:rPr>
          <w:i/>
        </w:rPr>
        <w:t>one</w:t>
      </w:r>
      <w:r>
        <w:t xml:space="preserve"> consumer and having</w:t>
      </w:r>
      <w:r>
        <w:rPr>
          <w:i/>
        </w:rPr>
        <w:t xml:space="preserve"> </w:t>
      </w:r>
      <w:r>
        <w:t>single-metered service and a</w:t>
      </w:r>
      <w:r>
        <w:rPr>
          <w:i/>
        </w:rPr>
        <w:t xml:space="preserve"> connected </w:t>
      </w:r>
      <w:r>
        <w:t>load</w:t>
      </w:r>
      <w:r>
        <w:rPr>
          <w:i/>
        </w:rPr>
        <w:t xml:space="preserve"> </w:t>
      </w:r>
      <w:r>
        <w:t>which, at the time of initial full operation of the</w:t>
      </w:r>
      <w:r>
        <w:rPr>
          <w:i/>
        </w:rPr>
        <w:t xml:space="preserve"> </w:t>
      </w:r>
      <w:r>
        <w:t xml:space="preserve">premises, is 900 kilowatts or greater.” O.C.G.A. § 46-3-8(a) (emphasis added). Thus, the “premises” must have a connected load of 900 kW or greater to qualify for the large load exception. </w:t>
      </w:r>
    </w:p>
    <w:p>
      <w:pPr>
        <w:spacing w:line="480" w:lineRule="auto"/>
        <w:ind w:firstLine="720"/>
      </w:pPr>
      <w:r>
        <w:t xml:space="preserve">The potential load of electric vehicles that </w:t>
      </w:r>
      <w:r>
        <w:rPr>
          <w:i/>
        </w:rPr>
        <w:t>might</w:t>
      </w:r>
      <w:r>
        <w:t xml:space="preserve"> be brought to the charging station and plugged in downstream of the rectifiers cannot properly be considered in a load count. Electrify America, the owner of the Premises, has no control over those vehicles (T. 251:15-17), which </w:t>
      </w:r>
      <w:r>
        <w:lastRenderedPageBreak/>
        <w:t xml:space="preserve">“are inherently mobile resources that come and go” (T. 227:2-3). Electric vehicle owners make their own decisions about if or when they want to use charging dispensers. (T. 250:8-13.) Such load—owned and controlled by third parties who might decide to drive to the site and plug in—would not be the load of the Premises </w:t>
      </w:r>
      <w:r>
        <w:rPr>
          <w:i/>
        </w:rPr>
        <w:t>here</w:t>
      </w:r>
      <w:r>
        <w:t>.</w:t>
      </w:r>
    </w:p>
    <w:p>
      <w:pPr>
        <w:spacing w:line="480" w:lineRule="auto"/>
        <w:ind w:firstLine="720"/>
      </w:pPr>
      <w:r>
        <w:t xml:space="preserve">To satisfy the large load exception, the connected load must be located on one tract or contiguous tracts of land, not in driveways and garages throughout Georgia and beyond. As “inherently mobile resources” stored off-site and completely beyond the control of Electrify America, third party electric vehicles cannot properly be considered part of the Premises. As stated by the Georgia Supreme Court with respect to the large load exception, the “obvious intent of the legislature . . . was to craft a narrow exception reserved for bona fide large load customers.” </w:t>
      </w:r>
      <w:proofErr w:type="spellStart"/>
      <w:r>
        <w:rPr>
          <w:i/>
        </w:rPr>
        <w:t>Sawnee</w:t>
      </w:r>
      <w:proofErr w:type="spellEnd"/>
      <w:r>
        <w:rPr>
          <w:i/>
        </w:rPr>
        <w:t xml:space="preserve"> EMC, </w:t>
      </w:r>
      <w:r>
        <w:t xml:space="preserve">273 Ga. at 707. A connected load that depends on the inclusion of potential off-premises equipment owned and controlled by third parties simply does not constitute a bona fide large load customer. </w:t>
      </w:r>
    </w:p>
    <w:p>
      <w:pPr>
        <w:spacing w:line="480" w:lineRule="auto"/>
        <w:ind w:firstLine="720"/>
      </w:pPr>
      <w:r>
        <w:t xml:space="preserve">Additionally, even if it were proper to include such off-premises load in a load count, it is well established that contingent or future load cannot be included in a load count under O.C.G.A. § 46-3-8(a). </w:t>
      </w:r>
      <w:r>
        <w:rPr>
          <w:i/>
        </w:rPr>
        <w:t>See, e.g.</w:t>
      </w:r>
      <w:r>
        <w:t>,</w:t>
      </w:r>
      <w:r>
        <w:rPr>
          <w:i/>
        </w:rPr>
        <w:t xml:space="preserve"> Cobb EMC v. Ga. Power Co.</w:t>
      </w:r>
      <w:r>
        <w:t xml:space="preserve">, Docket No. 3874-U, at 11 (Initial Decision Feb. 13, 1990) (“Georgia Power has no right to provide service to this building [under the large load exception] on the basis that additional structures might be built in the future.”); </w:t>
      </w:r>
      <w:r>
        <w:rPr>
          <w:i/>
        </w:rPr>
        <w:t xml:space="preserve">Sumter County </w:t>
      </w:r>
      <w:r>
        <w:t xml:space="preserve">(Initial Decision) at 30 (connected load “must be computed in a load count based on </w:t>
      </w:r>
      <w:r>
        <w:rPr>
          <w:u w:val="single"/>
        </w:rPr>
        <w:t>actual</w:t>
      </w:r>
      <w:r>
        <w:rPr>
          <w:i/>
        </w:rPr>
        <w:t xml:space="preserve"> </w:t>
      </w:r>
      <w:r>
        <w:t xml:space="preserve">load rather than </w:t>
      </w:r>
      <w:r>
        <w:rPr>
          <w:u w:val="single"/>
        </w:rPr>
        <w:t>potential</w:t>
      </w:r>
      <w:r>
        <w:t xml:space="preserve"> or </w:t>
      </w:r>
      <w:r>
        <w:rPr>
          <w:u w:val="single"/>
        </w:rPr>
        <w:t>future</w:t>
      </w:r>
      <w:r>
        <w:t xml:space="preserve"> load).” The Hearing Officer notes in the Initial Decision that “connected load” at the time of initial full operation may be determined prospectively under some circumstances, but that rule does not apply in this case where Georgia Power is computing the load count </w:t>
      </w:r>
      <w:r>
        <w:rPr>
          <w:i/>
        </w:rPr>
        <w:t>after</w:t>
      </w:r>
      <w:r>
        <w:t xml:space="preserve"> the time of initial full operation. (</w:t>
      </w:r>
      <w:r>
        <w:rPr>
          <w:i/>
        </w:rPr>
        <w:t>See id.</w:t>
      </w:r>
      <w:r>
        <w:t xml:space="preserve">) And, even a </w:t>
      </w:r>
      <w:r>
        <w:lastRenderedPageBreak/>
        <w:t xml:space="preserve">good faith prospective determination of connected load before initial full operation will not prevail over an </w:t>
      </w:r>
      <w:r>
        <w:rPr>
          <w:i/>
        </w:rPr>
        <w:t>actual</w:t>
      </w:r>
      <w:r>
        <w:t xml:space="preserve"> load count that shows a load of less than 900 kW. </w:t>
      </w:r>
      <w:r>
        <w:rPr>
          <w:i/>
        </w:rPr>
        <w:t>See Jackson EMC v. Ga. Power Co.</w:t>
      </w:r>
      <w:r>
        <w:t>, Docket No. 4076-U, at 10 (Initial Decision Apr. 13, 1992).</w:t>
      </w:r>
    </w:p>
    <w:p>
      <w:pPr>
        <w:spacing w:line="480" w:lineRule="auto"/>
        <w:ind w:firstLine="720"/>
      </w:pPr>
      <w:r>
        <w:t>Finally, the Initial Decision relies inappropriately on a supposed concern that “</w:t>
      </w:r>
      <w:proofErr w:type="spellStart"/>
      <w:r>
        <w:t>Sawnee</w:t>
      </w:r>
      <w:proofErr w:type="spellEnd"/>
      <w:r>
        <w:t xml:space="preserve"> EMC’s theory for calculating connected load would leave the Premises wholly underserved.” (Initial Decision at 12.) It is well established that a determination of “connected load” is based on Territorial Act provisions and case law, and differs from engineering principles that guide utilities in sizing their service to a building or facility. Redundant equipment, for example, is not included in a load count </w:t>
      </w:r>
      <w:r>
        <w:rPr>
          <w:i/>
        </w:rPr>
        <w:t>even if</w:t>
      </w:r>
      <w:r>
        <w:t xml:space="preserve"> the utility must still provide adequate service for such equipment. </w:t>
      </w:r>
      <w:r>
        <w:rPr>
          <w:i/>
        </w:rPr>
        <w:t>See Coweta-Fayette EMC v. City of Fairburn</w:t>
      </w:r>
      <w:r>
        <w:t xml:space="preserve">, Docket No. 10195-U (Initial Decision Apr. 11, 2000). In fact, Georgia Power’s expert expressly recognized that “connected load is indeed a term of art . . . . </w:t>
      </w:r>
      <w:proofErr w:type="gramStart"/>
      <w:r>
        <w:t>the</w:t>
      </w:r>
      <w:proofErr w:type="gramEnd"/>
      <w:r>
        <w:t xml:space="preserve"> connected load of a facility is viewed somewhat differently by the GPSC from the manner I, and other engineers, would typically use to calculate connected load for the design of a power system for a building.” (T. 144:1-5.) The Hearing Officer’s concern that a lower “connected load” calculation under the large load exception would lead to insufficient service to the Premises is wholly misplaced. Whichever electric supplier serves the Premises will install adequate service, and there is no evidence in the record to </w:t>
      </w:r>
      <w:proofErr w:type="gramStart"/>
      <w:r>
        <w:t>indicates</w:t>
      </w:r>
      <w:proofErr w:type="gramEnd"/>
      <w:r>
        <w:t xml:space="preserve"> otherwise. Whether the Premises has a connected load of 900 kW or greater is an entirely different matter. </w:t>
      </w:r>
    </w:p>
    <w:p>
      <w:pPr>
        <w:pStyle w:val="Heading3"/>
        <w:keepNext/>
        <w:keepLines/>
        <w:numPr>
          <w:ilvl w:val="1"/>
          <w:numId w:val="11"/>
        </w:numPr>
        <w:rPr>
          <w:rFonts w:eastAsiaTheme="minorHAnsi"/>
          <w:b/>
        </w:rPr>
      </w:pPr>
      <w:r>
        <w:rPr>
          <w:rFonts w:eastAsiaTheme="minorHAnsi"/>
          <w:b/>
        </w:rPr>
        <w:t>The Premises Are Not “Utilized by One Consumer.”</w:t>
      </w:r>
    </w:p>
    <w:p>
      <w:pPr>
        <w:keepNext/>
        <w:spacing w:line="480" w:lineRule="auto"/>
        <w:ind w:firstLine="720"/>
      </w:pPr>
      <w:r>
        <w:t xml:space="preserve">The Premises does not qualify for the large load exception for the further reason that it is not “utilized by one consumer” as required under O.C.G.A. § 46-3-8(a). The very nature of an electric vehicle charging station is to provide electricity to </w:t>
      </w:r>
      <w:r>
        <w:rPr>
          <w:i/>
        </w:rPr>
        <w:t>many</w:t>
      </w:r>
      <w:r>
        <w:t xml:space="preserve"> consumers. The undisputed evidence thus compels the conclusion that, setting aside the minimal amount of power used by Electrify America to operate LCD panels and other ancillary equipment (T. 67:31–68:3), EV </w:t>
      </w:r>
      <w:r>
        <w:lastRenderedPageBreak/>
        <w:t>owners who choose to drive up and plug their vehicles into Electrify America’s charging station are the relevant consumers.</w:t>
      </w:r>
    </w:p>
    <w:p>
      <w:pPr>
        <w:spacing w:line="480" w:lineRule="auto"/>
        <w:ind w:firstLine="720"/>
      </w:pPr>
      <w:r>
        <w:t xml:space="preserve">As the Initial Decision recognizes, the Territorial Act itself does not define the word “consumer.” But the meaning of “consumer” was the subject of a case decided by the Commission in 1997, which ultimately went to the Supreme Court of Georgia. In </w:t>
      </w:r>
      <w:bookmarkStart w:id="8" w:name="OLE_LINK20"/>
      <w:proofErr w:type="spellStart"/>
      <w:r>
        <w:rPr>
          <w:i/>
        </w:rPr>
        <w:t>Sawnee</w:t>
      </w:r>
      <w:proofErr w:type="spellEnd"/>
      <w:r>
        <w:rPr>
          <w:i/>
        </w:rPr>
        <w:t xml:space="preserve"> EMC </w:t>
      </w:r>
      <w:bookmarkEnd w:id="8"/>
      <w:r>
        <w:rPr>
          <w:i/>
        </w:rPr>
        <w:t>v. Ga. Power Co.</w:t>
      </w:r>
      <w:r>
        <w:t xml:space="preserve">, Docket No. 5976-U (Initial Decision Jan. 30, 1997), Georgia Power provided electric service to the landlord of a 380-unit apartment complex. The landlord then distributed electricity to each of the 380 apartments. </w:t>
      </w:r>
      <w:proofErr w:type="spellStart"/>
      <w:r>
        <w:rPr>
          <w:i/>
        </w:rPr>
        <w:t>Sawnee</w:t>
      </w:r>
      <w:proofErr w:type="spellEnd"/>
      <w:r>
        <w:rPr>
          <w:i/>
        </w:rPr>
        <w:t xml:space="preserve"> EMC</w:t>
      </w:r>
      <w:r>
        <w:t xml:space="preserve"> (Initial Decision) at 1. No single apartment had a connected load of 900 kW, but if the connected loads of all the apartments were combined, the load would have exceeded 900 kW. </w:t>
      </w:r>
      <w:r>
        <w:rPr>
          <w:i/>
        </w:rPr>
        <w:t xml:space="preserve">Id. </w:t>
      </w:r>
      <w:r>
        <w:t>at 8-9. Georgia Power argued that it was entitled to serve the apartment complex under the large load exception, and one issue was whether “Dominion, the landlord, [</w:t>
      </w:r>
      <w:proofErr w:type="spellStart"/>
      <w:r>
        <w:t>wa</w:t>
      </w:r>
      <w:proofErr w:type="spellEnd"/>
      <w:proofErr w:type="gramStart"/>
      <w:r>
        <w:t>]s</w:t>
      </w:r>
      <w:proofErr w:type="gramEnd"/>
      <w:r>
        <w:t xml:space="preserve"> the electric consumer or whether each tenant in each apartment [</w:t>
      </w:r>
      <w:proofErr w:type="spellStart"/>
      <w:r>
        <w:t>wa</w:t>
      </w:r>
      <w:proofErr w:type="spellEnd"/>
      <w:r>
        <w:t xml:space="preserve">]s the electric consumer.” </w:t>
      </w:r>
      <w:r>
        <w:rPr>
          <w:i/>
        </w:rPr>
        <w:t xml:space="preserve">Id. </w:t>
      </w:r>
      <w:r>
        <w:t xml:space="preserve">at 10. </w:t>
      </w:r>
    </w:p>
    <w:p>
      <w:pPr>
        <w:spacing w:line="480" w:lineRule="auto"/>
        <w:ind w:firstLine="720"/>
      </w:pPr>
      <w:r>
        <w:t xml:space="preserve">The case was appealed all the way to the Georgia Supreme Court, which concluded that the phrase “one consumer” means </w:t>
      </w:r>
      <w:bookmarkStart w:id="9" w:name="OLE_LINK7"/>
      <w:r>
        <w:t xml:space="preserve">“the user of the final product and not a buyer for resale.” </w:t>
      </w:r>
      <w:bookmarkStart w:id="10" w:name="OLE_LINK11"/>
      <w:proofErr w:type="spellStart"/>
      <w:r>
        <w:rPr>
          <w:i/>
        </w:rPr>
        <w:t>Sawnee</w:t>
      </w:r>
      <w:proofErr w:type="spellEnd"/>
      <w:r>
        <w:rPr>
          <w:i/>
        </w:rPr>
        <w:t xml:space="preserve"> EMC, </w:t>
      </w:r>
      <w:r>
        <w:t>273 Ga. at 705</w:t>
      </w:r>
      <w:bookmarkEnd w:id="9"/>
      <w:bookmarkEnd w:id="10"/>
      <w:r>
        <w:t>.</w:t>
      </w:r>
      <w:r>
        <w:rPr>
          <w:i/>
        </w:rPr>
        <w:t xml:space="preserve"> </w:t>
      </w:r>
      <w:r>
        <w:t xml:space="preserve">Under this definition, the Court concurred with the hearing officer that the consumers were the 380 individual tenants, who did not constitute “one consumer” as required under the large load exception. In so ruling, the Court held that “[t]o rule otherwise would frustrate the legislative intent of the territorial act—‘restraining competition . . . for the benefit of the public in minimization of duplication of facilities and prevention of other adverse economic and environmental effects.’” </w:t>
      </w:r>
      <w:r>
        <w:rPr>
          <w:i/>
        </w:rPr>
        <w:t xml:space="preserve">Id. </w:t>
      </w:r>
      <w:r>
        <w:t>at 706. (</w:t>
      </w:r>
      <w:proofErr w:type="gramStart"/>
      <w:r>
        <w:t>quoting</w:t>
      </w:r>
      <w:proofErr w:type="gramEnd"/>
      <w:r>
        <w:t xml:space="preserve"> </w:t>
      </w:r>
      <w:r>
        <w:rPr>
          <w:i/>
        </w:rPr>
        <w:t>City of Calhoun v. N. Ga. EMC</w:t>
      </w:r>
      <w:r>
        <w:t>, 233 Ga. 759, 768 (1975)).</w:t>
      </w:r>
      <w:r>
        <w:tab/>
        <w:t xml:space="preserve"> </w:t>
      </w:r>
    </w:p>
    <w:p>
      <w:pPr>
        <w:spacing w:line="480" w:lineRule="auto"/>
      </w:pPr>
      <w:r>
        <w:lastRenderedPageBreak/>
        <w:tab/>
        <w:t xml:space="preserve">The Hearing Officer in this case did not appropriately apply the Supreme Court’s </w:t>
      </w:r>
      <w:proofErr w:type="spellStart"/>
      <w:r>
        <w:rPr>
          <w:i/>
        </w:rPr>
        <w:t>Sawnee</w:t>
      </w:r>
      <w:proofErr w:type="spellEnd"/>
      <w:r>
        <w:rPr>
          <w:i/>
        </w:rPr>
        <w:t xml:space="preserve"> EMC </w:t>
      </w:r>
      <w:r>
        <w:t>holding to the EV charging station, instead distinguishing that case on the ground that “[t]he fact that the tenants were separately metered was essential the Court’s ruling [sic.]” (Initial Decision at 13.) But the Hearing Officer’s summary does not fully reflect the Court’s analysis:</w:t>
      </w:r>
    </w:p>
    <w:p>
      <w:pPr>
        <w:ind w:left="720" w:right="720"/>
      </w:pPr>
      <w:r>
        <w:t xml:space="preserve">In order to determine whether Dominion’s complex qualifies for the large-load customer choice exception under O.C.G.A. § 46-3-8(a), we must ascertain whether the complex constitutes one or multiple “premises,” </w:t>
      </w:r>
      <w:r>
        <w:rPr>
          <w:i/>
        </w:rPr>
        <w:t>whether the premises is “utilized by one consumer,”</w:t>
      </w:r>
      <w:r>
        <w:t xml:space="preserve"> </w:t>
      </w:r>
      <w:r>
        <w:rPr>
          <w:i/>
        </w:rPr>
        <w:t>and</w:t>
      </w:r>
      <w:r>
        <w:t xml:space="preserve"> whether service is provided to that consumer by means of a “single meter.”</w:t>
      </w:r>
    </w:p>
    <w:p/>
    <w:p>
      <w:pPr>
        <w:spacing w:line="480" w:lineRule="auto"/>
      </w:pPr>
      <w:proofErr w:type="spellStart"/>
      <w:r>
        <w:rPr>
          <w:i/>
        </w:rPr>
        <w:t>Sawnee</w:t>
      </w:r>
      <w:proofErr w:type="spellEnd"/>
      <w:r>
        <w:rPr>
          <w:i/>
        </w:rPr>
        <w:t xml:space="preserve"> EMC</w:t>
      </w:r>
      <w:r>
        <w:t xml:space="preserve">, 273 Ga. at 704-05 (emphasis added). While the Court in </w:t>
      </w:r>
      <w:proofErr w:type="spellStart"/>
      <w:r>
        <w:rPr>
          <w:i/>
        </w:rPr>
        <w:t>Sawnee</w:t>
      </w:r>
      <w:proofErr w:type="spellEnd"/>
      <w:r>
        <w:rPr>
          <w:i/>
        </w:rPr>
        <w:t xml:space="preserve"> EMC</w:t>
      </w:r>
      <w:r>
        <w:t xml:space="preserve"> also based its overall ruling on the “premises” and “single-metered service” components of the large load exception, the Court separately addressed the meaning of “utilized by one consumer.” The Court’s holding regarding the meaning of “utilized by one consumer” thus applies here, and it stands apart from the separate requirement that the Premises have “single-metered service.”</w:t>
      </w:r>
    </w:p>
    <w:p>
      <w:pPr>
        <w:spacing w:line="480" w:lineRule="auto"/>
        <w:ind w:firstLine="720"/>
      </w:pPr>
      <w:r>
        <w:t xml:space="preserve">Like the landlord in the </w:t>
      </w:r>
      <w:proofErr w:type="spellStart"/>
      <w:r>
        <w:rPr>
          <w:i/>
        </w:rPr>
        <w:t>Sawnee</w:t>
      </w:r>
      <w:proofErr w:type="spellEnd"/>
      <w:r>
        <w:rPr>
          <w:i/>
        </w:rPr>
        <w:t xml:space="preserve"> EMC </w:t>
      </w:r>
      <w:r>
        <w:t>apartment case, Electrify America takes power from the electric supplier and delivers it to the end user. Since the EV owner needs DC power, Electrify America’s rectifiers convert AC power to DC power before delivering it. (</w:t>
      </w:r>
      <w:r>
        <w:rPr>
          <w:i/>
        </w:rPr>
        <w:t>See, e.g.</w:t>
      </w:r>
      <w:r>
        <w:t>,</w:t>
      </w:r>
      <w:r>
        <w:rPr>
          <w:i/>
        </w:rPr>
        <w:t xml:space="preserve"> </w:t>
      </w:r>
      <w:r>
        <w:t xml:space="preserve">T. 80:17-19 (Mara) (“Electrify America modifies the energy but [delivers] the energy in a different format, i.e., a DC charge.”); T. 92:9-11 (Mara) (the rectifier is “transporting AC </w:t>
      </w:r>
      <w:proofErr w:type="gramStart"/>
      <w:r>
        <w:t>current[</w:t>
      </w:r>
      <w:proofErr w:type="gramEnd"/>
      <w:r>
        <w:t xml:space="preserve">,] changing it, making it DC and delivering it. So it’s not using the electricity, it’s modifying the electricity.”); T. 204:3-5 (J. Shah) (“the vehicle is being provided that DC power that has been modified by Electrify America’s equipment from the AC perspective.”); T. 254:25–255:5 (Bean) (“Electrify America’s charging dispensers here are converting the electric power supplied by Georgia Power into a usable form for the end users, the drivers who want to charge their car batteries.”).) </w:t>
      </w:r>
    </w:p>
    <w:p>
      <w:pPr>
        <w:spacing w:line="480" w:lineRule="auto"/>
      </w:pPr>
      <w:r>
        <w:lastRenderedPageBreak/>
        <w:tab/>
        <w:t xml:space="preserve">Similarly, EV owners are like the tenants in the </w:t>
      </w:r>
      <w:proofErr w:type="spellStart"/>
      <w:r>
        <w:rPr>
          <w:i/>
        </w:rPr>
        <w:t>Sawnee</w:t>
      </w:r>
      <w:proofErr w:type="spellEnd"/>
      <w:r>
        <w:rPr>
          <w:i/>
        </w:rPr>
        <w:t xml:space="preserve"> EMC </w:t>
      </w:r>
      <w:r>
        <w:t xml:space="preserve">case: both are the consumers and users of the final product. Multiple witnesses testified to this. For example, Mr. Mara testified that “[t]he electric vehicle owner is the electric consumer . . . . The person or entity that’s using the electricity is, in fact, the electric vehicle and the battery that’s connected to that electric vehicle.” (T. 73:15; 76:22-25.) And Electrify America’s witness, Mr. Shah, testified: </w:t>
      </w:r>
    </w:p>
    <w:p>
      <w:pPr>
        <w:ind w:left="1440" w:right="720" w:hanging="720"/>
        <w:contextualSpacing/>
      </w:pPr>
      <w:r>
        <w:t>Q:</w:t>
      </w:r>
      <w:r>
        <w:tab/>
        <w:t xml:space="preserve">The </w:t>
      </w:r>
      <w:r>
        <w:rPr>
          <w:i/>
        </w:rPr>
        <w:t>end user</w:t>
      </w:r>
      <w:r>
        <w:t xml:space="preserve"> of that DC power is the owner of the electric vehicle that pulls up and connects to a charging port; right? </w:t>
      </w:r>
    </w:p>
    <w:p>
      <w:pPr>
        <w:ind w:left="720" w:right="720"/>
        <w:contextualSpacing/>
      </w:pPr>
    </w:p>
    <w:p>
      <w:pPr>
        <w:ind w:left="720" w:right="720"/>
        <w:contextualSpacing/>
      </w:pPr>
      <w:r>
        <w:t>A:</w:t>
      </w:r>
      <w:r>
        <w:tab/>
        <w:t xml:space="preserve">Well, technically, the battery, but yes. </w:t>
      </w:r>
    </w:p>
    <w:p>
      <w:pPr>
        <w:ind w:left="720"/>
        <w:contextualSpacing/>
      </w:pPr>
    </w:p>
    <w:p>
      <w:pPr>
        <w:spacing w:line="480" w:lineRule="auto"/>
      </w:pPr>
      <w:r>
        <w:t xml:space="preserve">(T. 204:6-9) (emphasis added). Mr. Bean (for Tesla) testified that individual drivers purchase the “final product” to charge their vehicles: </w:t>
      </w:r>
    </w:p>
    <w:p>
      <w:pPr>
        <w:ind w:left="1440" w:hanging="720"/>
        <w:contextualSpacing/>
      </w:pPr>
      <w:r>
        <w:t>Q.</w:t>
      </w:r>
      <w:r>
        <w:tab/>
        <w:t xml:space="preserve">[After the rectifier converts AC energy to DC energy,] then that DC energy is transferred to the individual vehicles when they’re plugged in? </w:t>
      </w:r>
    </w:p>
    <w:p/>
    <w:p>
      <w:pPr>
        <w:ind w:firstLine="720"/>
      </w:pPr>
      <w:r>
        <w:t>A.</w:t>
      </w:r>
      <w:r>
        <w:tab/>
        <w:t xml:space="preserve">Yes. </w:t>
      </w:r>
    </w:p>
    <w:p>
      <w:pPr>
        <w:ind w:firstLine="720"/>
      </w:pPr>
    </w:p>
    <w:p>
      <w:pPr>
        <w:ind w:left="1440" w:hanging="720"/>
        <w:contextualSpacing/>
      </w:pPr>
      <w:r>
        <w:t>Q.</w:t>
      </w:r>
      <w:r>
        <w:tab/>
        <w:t>So direct current electricity is the</w:t>
      </w:r>
      <w:r>
        <w:rPr>
          <w:i/>
        </w:rPr>
        <w:t xml:space="preserve"> final product</w:t>
      </w:r>
      <w:r>
        <w:t xml:space="preserve"> in the process; is that correct? </w:t>
      </w:r>
    </w:p>
    <w:p>
      <w:pPr>
        <w:ind w:left="1440" w:hanging="720"/>
        <w:contextualSpacing/>
      </w:pPr>
    </w:p>
    <w:p>
      <w:pPr>
        <w:ind w:left="1440" w:hanging="720"/>
        <w:contextualSpacing/>
      </w:pPr>
      <w:r>
        <w:t>A.</w:t>
      </w:r>
      <w:r>
        <w:tab/>
        <w:t xml:space="preserve">It is the </w:t>
      </w:r>
      <w:r>
        <w:rPr>
          <w:i/>
        </w:rPr>
        <w:t>final product</w:t>
      </w:r>
      <w:r>
        <w:t xml:space="preserve"> in that transaction between us and our customer. . . . </w:t>
      </w:r>
    </w:p>
    <w:p>
      <w:pPr>
        <w:ind w:left="1440" w:hanging="720"/>
        <w:contextualSpacing/>
      </w:pPr>
    </w:p>
    <w:p>
      <w:pPr>
        <w:ind w:left="1440" w:hanging="720"/>
        <w:contextualSpacing/>
      </w:pPr>
      <w:r>
        <w:t>Q.</w:t>
      </w:r>
      <w:r>
        <w:tab/>
        <w:t xml:space="preserve">And that’s what the individual drivers are buying, right, when they plug in their vehicles to charge up; is that right? The direct current to charge their batteries? </w:t>
      </w:r>
    </w:p>
    <w:p>
      <w:pPr>
        <w:ind w:left="1440" w:hanging="720"/>
        <w:contextualSpacing/>
      </w:pPr>
    </w:p>
    <w:p>
      <w:pPr>
        <w:ind w:left="1440" w:hanging="720"/>
        <w:contextualSpacing/>
      </w:pPr>
      <w:r>
        <w:t>A.</w:t>
      </w:r>
      <w:r>
        <w:tab/>
        <w:t xml:space="preserve">Yes. </w:t>
      </w:r>
    </w:p>
    <w:p/>
    <w:p>
      <w:r>
        <w:t xml:space="preserve">(T. 245:15–246:8 (emphasis added).) </w:t>
      </w:r>
    </w:p>
    <w:p/>
    <w:p>
      <w:pPr>
        <w:spacing w:line="480" w:lineRule="auto"/>
        <w:ind w:firstLine="720"/>
      </w:pPr>
      <w:r>
        <w:t xml:space="preserve">Based on the Supreme Court’s definition of “consumer” in the </w:t>
      </w:r>
      <w:proofErr w:type="spellStart"/>
      <w:r>
        <w:rPr>
          <w:i/>
        </w:rPr>
        <w:t>Sawnee</w:t>
      </w:r>
      <w:proofErr w:type="spellEnd"/>
      <w:r>
        <w:rPr>
          <w:i/>
        </w:rPr>
        <w:t xml:space="preserve"> EMC </w:t>
      </w:r>
      <w:r>
        <w:t>apartment</w:t>
      </w:r>
      <w:r>
        <w:rPr>
          <w:i/>
        </w:rPr>
        <w:t xml:space="preserve"> </w:t>
      </w:r>
      <w:r>
        <w:t xml:space="preserve">case as the “user of the final product,” this testimony plainly establishes that EV owners that are the users of the final product (DC power to charge their EV batteries) and thus the consumers. The electricity flowing from Electrify America’s dispensers is the final product and that product is consumed by the electric vehicles—the owners or drivers of which are each a “user of the final product and not a buyer for resale.” Because the Premises is not “utilized by one consumer,” but </w:t>
      </w:r>
      <w:r>
        <w:lastRenderedPageBreak/>
        <w:t>rather by many potential consumers at a charging station open to the general public, the Premises does not qualify for the large load exception.</w:t>
      </w:r>
    </w:p>
    <w:p>
      <w:pPr>
        <w:spacing w:line="480" w:lineRule="auto"/>
        <w:ind w:firstLine="720"/>
        <w:rPr>
          <w:i/>
        </w:rPr>
      </w:pPr>
      <w:r>
        <w:t xml:space="preserve">Finally on this point, the Hearing Officer further erred by relying on an argument that was rejected in the </w:t>
      </w:r>
      <w:proofErr w:type="spellStart"/>
      <w:r>
        <w:rPr>
          <w:i/>
        </w:rPr>
        <w:t>Sawnee</w:t>
      </w:r>
      <w:proofErr w:type="spellEnd"/>
      <w:r>
        <w:rPr>
          <w:i/>
        </w:rPr>
        <w:t xml:space="preserve"> EMC</w:t>
      </w:r>
      <w:r>
        <w:t xml:space="preserve"> case. The Initial Decision states that Electrify America is the “consumer” because “Electrify America . . . is contractually committed to Georgia Power for the electricity supply and is responsible for payment of that service. Georgia Power has no direct or indirect relationship with the EV driver.” (Initial Decision at 13.) But this also describes Georgia Power’s connection with the landlord and the individual tenants in </w:t>
      </w:r>
      <w:proofErr w:type="spellStart"/>
      <w:r>
        <w:rPr>
          <w:i/>
        </w:rPr>
        <w:t>Sawnee</w:t>
      </w:r>
      <w:proofErr w:type="spellEnd"/>
      <w:r>
        <w:rPr>
          <w:i/>
        </w:rPr>
        <w:t xml:space="preserve"> EMC</w:t>
      </w:r>
      <w:r>
        <w:t xml:space="preserve">. In that case, the Court of Appeals held that the landlord was the “consumer” because “it was [the landlord] which was Georgia Power’s customer and [the landlord] alone was contractually obligated to pay Georgia Power for the electric service entering the complex.” </w:t>
      </w:r>
      <w:bookmarkStart w:id="11" w:name="OLE_LINK6"/>
      <w:r>
        <w:rPr>
          <w:i/>
        </w:rPr>
        <w:t xml:space="preserve">Ga. Public Serv. </w:t>
      </w:r>
      <w:proofErr w:type="spellStart"/>
      <w:r>
        <w:rPr>
          <w:i/>
        </w:rPr>
        <w:t>Comm’n</w:t>
      </w:r>
      <w:proofErr w:type="spellEnd"/>
      <w:r>
        <w:rPr>
          <w:i/>
        </w:rPr>
        <w:t xml:space="preserve"> v. </w:t>
      </w:r>
      <w:proofErr w:type="spellStart"/>
      <w:r>
        <w:rPr>
          <w:i/>
        </w:rPr>
        <w:t>Sawnee</w:t>
      </w:r>
      <w:proofErr w:type="spellEnd"/>
      <w:r>
        <w:rPr>
          <w:i/>
        </w:rPr>
        <w:t xml:space="preserve"> EMC</w:t>
      </w:r>
      <w:bookmarkEnd w:id="11"/>
      <w:r>
        <w:t xml:space="preserve">, </w:t>
      </w:r>
      <w:bookmarkStart w:id="12" w:name="OLE_LINK5"/>
      <w:bookmarkStart w:id="13" w:name="OLE_LINK8"/>
      <w:r>
        <w:t>242 Ga. App. 156</w:t>
      </w:r>
      <w:bookmarkEnd w:id="12"/>
      <w:bookmarkEnd w:id="13"/>
      <w:r>
        <w:t xml:space="preserve">, 161 (2000). But the Georgia Supreme Court </w:t>
      </w:r>
      <w:r>
        <w:rPr>
          <w:i/>
        </w:rPr>
        <w:t>reversed</w:t>
      </w:r>
      <w:r>
        <w:t xml:space="preserve"> the Court of Appeals. </w:t>
      </w:r>
      <w:proofErr w:type="spellStart"/>
      <w:r>
        <w:rPr>
          <w:i/>
        </w:rPr>
        <w:t>Sawnee</w:t>
      </w:r>
      <w:proofErr w:type="spellEnd"/>
      <w:r>
        <w:rPr>
          <w:i/>
        </w:rPr>
        <w:t xml:space="preserve"> EMC, </w:t>
      </w:r>
      <w:r>
        <w:t>273 Ga. at 705. Therefore, under Georgia law, whether the utility contracts with the consumers of its electricity does not determine whether the premises is “utilized by one consumer.”</w:t>
      </w:r>
    </w:p>
    <w:p>
      <w:pPr>
        <w:pStyle w:val="Heading3"/>
        <w:keepNext/>
        <w:keepLines/>
        <w:numPr>
          <w:ilvl w:val="1"/>
          <w:numId w:val="11"/>
        </w:numPr>
        <w:rPr>
          <w:b/>
        </w:rPr>
      </w:pPr>
      <w:r>
        <w:rPr>
          <w:b/>
        </w:rPr>
        <w:t>This Case Does Not Justify Such a Drastic Expansion of the Large Load Exception.</w:t>
      </w:r>
    </w:p>
    <w:p>
      <w:pPr>
        <w:spacing w:line="480" w:lineRule="auto"/>
        <w:ind w:firstLine="720"/>
        <w:contextualSpacing/>
      </w:pPr>
      <w:r>
        <w:t xml:space="preserve">In </w:t>
      </w:r>
      <w:proofErr w:type="spellStart"/>
      <w:r>
        <w:rPr>
          <w:i/>
        </w:rPr>
        <w:t>Sawnee</w:t>
      </w:r>
      <w:proofErr w:type="spellEnd"/>
      <w:r>
        <w:rPr>
          <w:i/>
        </w:rPr>
        <w:t xml:space="preserve"> EMC</w:t>
      </w:r>
      <w:r>
        <w:t xml:space="preserve">, the Georgia Supreme Court stated that “‘the assignment of service areas under the [Territorial] Act restrains competition [and] the restraint is for the benefit of the public in minimization of duplication of facilities and prevention of their adverse economic and environmental effects.’” </w:t>
      </w:r>
      <w:bookmarkStart w:id="14" w:name="OLE_LINK10"/>
      <w:proofErr w:type="spellStart"/>
      <w:r>
        <w:rPr>
          <w:i/>
        </w:rPr>
        <w:t>Sawnee</w:t>
      </w:r>
      <w:proofErr w:type="spellEnd"/>
      <w:r>
        <w:rPr>
          <w:i/>
        </w:rPr>
        <w:t xml:space="preserve"> EMC</w:t>
      </w:r>
      <w:r>
        <w:t>,</w:t>
      </w:r>
      <w:r>
        <w:rPr>
          <w:i/>
        </w:rPr>
        <w:t xml:space="preserve"> </w:t>
      </w:r>
      <w:r>
        <w:t xml:space="preserve">273 Ga. at 704 (quoting </w:t>
      </w:r>
      <w:r>
        <w:rPr>
          <w:i/>
        </w:rPr>
        <w:t xml:space="preserve">City of Calhoun, </w:t>
      </w:r>
      <w:r>
        <w:t>233 Ga. at 768)</w:t>
      </w:r>
      <w:bookmarkEnd w:id="14"/>
      <w:r>
        <w:t xml:space="preserve">. As noted above, the Court also recognized that </w:t>
      </w:r>
      <w:bookmarkStart w:id="15" w:name="OLE_LINK9"/>
      <w:r>
        <w:t>as an exception to the general rule of exclusive territorial assignments under the Territorial Act, the large load exception must be “strictly construed” and “[a]</w:t>
      </w:r>
      <w:proofErr w:type="spellStart"/>
      <w:r>
        <w:t>ll</w:t>
      </w:r>
      <w:proofErr w:type="spellEnd"/>
      <w:r>
        <w:t xml:space="preserve"> doubts should be resolved in favor of the general statutory rule, </w:t>
      </w:r>
      <w:r>
        <w:lastRenderedPageBreak/>
        <w:t>rather than in favor of the exemption.”</w:t>
      </w:r>
      <w:bookmarkEnd w:id="15"/>
      <w:r>
        <w:t xml:space="preserve"> </w:t>
      </w:r>
      <w:r>
        <w:rPr>
          <w:i/>
        </w:rPr>
        <w:t xml:space="preserve">Id. </w:t>
      </w:r>
      <w:r>
        <w:t xml:space="preserve">The Court concluded that the General Assembly intended “to craft a narrow exception reserved for bona fide large-load consumers.” </w:t>
      </w:r>
      <w:r>
        <w:rPr>
          <w:i/>
        </w:rPr>
        <w:t>Id.</w:t>
      </w:r>
      <w:r>
        <w:t xml:space="preserve"> at 707.</w:t>
      </w:r>
    </w:p>
    <w:p>
      <w:pPr>
        <w:spacing w:line="480" w:lineRule="auto"/>
        <w:ind w:firstLine="720"/>
        <w:contextualSpacing/>
      </w:pPr>
      <w:r>
        <w:t xml:space="preserve">In light of these principles, it is clear that Georgia Power seeks, and the Hearing Officer endorsed, a ruling that far exceeds the limited scope of the large load exception. Rather than being confined to the “connected” load of a geographically specific “premises” that is “utilized by one consumer,” Georgia Power would expand the large load exception to include potential load that is </w:t>
      </w:r>
      <w:r>
        <w:rPr>
          <w:i/>
        </w:rPr>
        <w:t xml:space="preserve">not </w:t>
      </w:r>
      <w:r>
        <w:t xml:space="preserve">connected, is </w:t>
      </w:r>
      <w:r>
        <w:rPr>
          <w:i/>
        </w:rPr>
        <w:t xml:space="preserve">not </w:t>
      </w:r>
      <w:r>
        <w:t xml:space="preserve">located on a specific premises, and is </w:t>
      </w:r>
      <w:r>
        <w:rPr>
          <w:i/>
        </w:rPr>
        <w:t>not</w:t>
      </w:r>
      <w:r>
        <w:t xml:space="preserve"> utilized by one consumer. This would go well beyond the </w:t>
      </w:r>
      <w:proofErr w:type="spellStart"/>
      <w:r>
        <w:rPr>
          <w:i/>
        </w:rPr>
        <w:t>Sawnee</w:t>
      </w:r>
      <w:proofErr w:type="spellEnd"/>
      <w:r>
        <w:rPr>
          <w:i/>
        </w:rPr>
        <w:t xml:space="preserve"> EMC </w:t>
      </w:r>
      <w:r>
        <w:t xml:space="preserve">case, which at least was limited to a single geographic site and apartment load that was fixed, not mobile. Under Georgia Power’s interpretation, by contrast, the large load exception would be available to any entity that decides to offer </w:t>
      </w:r>
      <w:r>
        <w:rPr>
          <w:i/>
        </w:rPr>
        <w:t>access</w:t>
      </w:r>
      <w:r>
        <w:t xml:space="preserve"> to electricity to third parties who might decide to drive up and plug in load-consuming equipment. Moreover, since virtually any entity could offer such access by installing rectifiers for charging the batteries of vehicles, golf carts, electric bikes, lawnmowers, etc., the scope of the large load could expand exponentially. Far from being a “narrow exception” “strictly construed” in favor of a “bona fide large load consumer,” the large load exception would be limited only by the willingness of customers to install rectifiers and offer charging services. This would fly in the face of the plain language of the large load exception and the important principles expressed by the Georgia Supreme Court in </w:t>
      </w:r>
      <w:proofErr w:type="spellStart"/>
      <w:r>
        <w:rPr>
          <w:i/>
        </w:rPr>
        <w:t>Sawnee</w:t>
      </w:r>
      <w:proofErr w:type="spellEnd"/>
      <w:r>
        <w:rPr>
          <w:i/>
        </w:rPr>
        <w:t xml:space="preserve"> EMC</w:t>
      </w:r>
      <w:r>
        <w:t xml:space="preserve">. </w:t>
      </w:r>
    </w:p>
    <w:p>
      <w:pPr>
        <w:keepNext/>
        <w:spacing w:line="480" w:lineRule="auto"/>
        <w:contextualSpacing/>
        <w:jc w:val="center"/>
        <w:rPr>
          <w:b/>
        </w:rPr>
      </w:pPr>
      <w:r>
        <w:rPr>
          <w:b/>
        </w:rPr>
        <w:t>CONCLUSION</w:t>
      </w:r>
    </w:p>
    <w:p>
      <w:pPr>
        <w:keepNext/>
        <w:spacing w:line="480" w:lineRule="auto"/>
      </w:pPr>
      <w:r>
        <w:rPr>
          <w:b/>
        </w:rPr>
        <w:tab/>
      </w:r>
      <w:r>
        <w:t xml:space="preserve">Georgia Power failed to meet its burden to prove that the Premises qualifies for the large load exception of O.C.G.A. § 46-3-8(a), and the Hearing Officer erred in deciding that the Premises are a customer choice location. </w:t>
      </w:r>
      <w:proofErr w:type="spellStart"/>
      <w:r>
        <w:t>Sawnee</w:t>
      </w:r>
      <w:proofErr w:type="spellEnd"/>
      <w:r>
        <w:t xml:space="preserve"> EMC respectfully requests that the </w:t>
      </w:r>
      <w:r>
        <w:lastRenderedPageBreak/>
        <w:t xml:space="preserve">Commission grant its application for full Commission review, reverse the Initial Decision, and rule that </w:t>
      </w:r>
      <w:proofErr w:type="spellStart"/>
      <w:r>
        <w:t>Sawnee</w:t>
      </w:r>
      <w:proofErr w:type="spellEnd"/>
      <w:r>
        <w:t xml:space="preserve"> EMC has the exclusive right to serve the Premises.</w:t>
      </w:r>
    </w:p>
    <w:p>
      <w:pPr>
        <w:spacing w:line="480" w:lineRule="auto"/>
      </w:pPr>
      <w:r>
        <w:tab/>
        <w:t>Respectfully submitted, this 23rd day of June, 2022.</w:t>
      </w:r>
    </w:p>
    <w:p>
      <w:pPr>
        <w:spacing w:line="480" w:lineRule="auto"/>
      </w:pPr>
    </w:p>
    <w:p>
      <w:pPr>
        <w:keepNext/>
        <w:ind w:left="4320"/>
        <w:contextualSpacing/>
      </w:pPr>
      <w:r>
        <w:rPr>
          <w:u w:val="single"/>
        </w:rPr>
        <w:tab/>
      </w:r>
      <w:r>
        <w:rPr>
          <w:u w:val="single"/>
        </w:rPr>
        <w:tab/>
      </w:r>
      <w:r>
        <w:rPr>
          <w:u w:val="single"/>
        </w:rPr>
        <w:tab/>
      </w:r>
      <w:r>
        <w:rPr>
          <w:u w:val="single"/>
        </w:rPr>
        <w:tab/>
      </w:r>
      <w:r>
        <w:rPr>
          <w:u w:val="single"/>
        </w:rPr>
        <w:tab/>
      </w:r>
    </w:p>
    <w:p>
      <w:pPr>
        <w:keepNext/>
        <w:ind w:left="4320"/>
        <w:contextualSpacing/>
      </w:pPr>
      <w:r>
        <w:t xml:space="preserve">James A. Orr (Ga. </w:t>
      </w:r>
      <w:proofErr w:type="gramStart"/>
      <w:r>
        <w:t>Bar</w:t>
      </w:r>
      <w:proofErr w:type="gramEnd"/>
      <w:r>
        <w:t xml:space="preserve"> No. 554608)</w:t>
      </w:r>
    </w:p>
    <w:p>
      <w:pPr>
        <w:keepNext/>
        <w:ind w:left="4320"/>
        <w:contextualSpacing/>
      </w:pPr>
      <w:r>
        <w:t xml:space="preserve">Lee A. Peifer (Ga. </w:t>
      </w:r>
      <w:proofErr w:type="gramStart"/>
      <w:r>
        <w:t>Bar</w:t>
      </w:r>
      <w:proofErr w:type="gramEnd"/>
      <w:r>
        <w:t xml:space="preserve"> No. 367028)</w:t>
      </w:r>
    </w:p>
    <w:p>
      <w:pPr>
        <w:ind w:left="4320"/>
        <w:contextualSpacing/>
      </w:pPr>
      <w:r>
        <w:t xml:space="preserve">Benjamin E. Reed (Ga. </w:t>
      </w:r>
      <w:proofErr w:type="gramStart"/>
      <w:r>
        <w:t>Bar</w:t>
      </w:r>
      <w:proofErr w:type="gramEnd"/>
      <w:r>
        <w:t xml:space="preserve"> No. 719210)</w:t>
      </w:r>
    </w:p>
    <w:p>
      <w:pPr>
        <w:ind w:left="4320"/>
        <w:contextualSpacing/>
      </w:pPr>
      <w:r>
        <w:t>EVERSHEDS SUTHERLAND (US) LLP</w:t>
      </w:r>
    </w:p>
    <w:p>
      <w:pPr>
        <w:ind w:left="4320"/>
        <w:contextualSpacing/>
      </w:pPr>
      <w:r>
        <w:t>999 Peachtree Street, N.E., Suite 2300</w:t>
      </w:r>
    </w:p>
    <w:p>
      <w:pPr>
        <w:ind w:left="4320"/>
        <w:contextualSpacing/>
      </w:pPr>
      <w:r>
        <w:t>Atlanta, Georgia 30309-3996</w:t>
      </w:r>
    </w:p>
    <w:p>
      <w:pPr>
        <w:ind w:left="4320"/>
        <w:contextualSpacing/>
      </w:pPr>
      <w:r>
        <w:t>(404) 853-8000</w:t>
      </w:r>
    </w:p>
    <w:p>
      <w:pPr>
        <w:ind w:left="4320"/>
        <w:contextualSpacing/>
      </w:pPr>
      <w:r>
        <w:t>jamesorr@eversheds-sutherland.com</w:t>
      </w:r>
    </w:p>
    <w:p>
      <w:pPr>
        <w:ind w:left="4320"/>
        <w:contextualSpacing/>
      </w:pPr>
      <w:r>
        <w:t>leepeifer@eversheds-sutherland.com</w:t>
      </w:r>
    </w:p>
    <w:p>
      <w:pPr>
        <w:ind w:left="4320"/>
        <w:contextualSpacing/>
      </w:pPr>
      <w:r>
        <w:t>benreed@eversheds-sutherland.com</w:t>
      </w:r>
    </w:p>
    <w:p>
      <w:pPr>
        <w:ind w:left="4320"/>
        <w:contextualSpacing/>
        <w:sectPr>
          <w:footerReference w:type="default" r:id="rId11"/>
          <w:pgSz w:w="12240" w:h="15840"/>
          <w:pgMar w:top="1440" w:right="1440" w:bottom="1440" w:left="1440" w:header="720" w:footer="720" w:gutter="0"/>
          <w:cols w:space="720"/>
          <w:titlePg/>
          <w:docGrid w:linePitch="360"/>
        </w:sectPr>
      </w:pPr>
      <w:r>
        <w:t xml:space="preserve">Attorneys for </w:t>
      </w:r>
      <w:proofErr w:type="spellStart"/>
      <w:r>
        <w:t>Sawnee</w:t>
      </w:r>
      <w:proofErr w:type="spellEnd"/>
      <w:r>
        <w:t xml:space="preserve"> EMC</w:t>
      </w:r>
      <w:r>
        <w:br w:type="page"/>
      </w:r>
    </w:p>
    <w:p>
      <w:pPr>
        <w:jc w:val="center"/>
      </w:pPr>
      <w:r>
        <w:lastRenderedPageBreak/>
        <w:t>BEFORE THE PUBLIC SERVICE COMMISSION</w:t>
      </w:r>
    </w:p>
    <w:p>
      <w:pPr>
        <w:jc w:val="center"/>
      </w:pPr>
      <w:r>
        <w:t>STATE OF GEORGIA</w:t>
      </w:r>
    </w:p>
    <w:p/>
    <w:p>
      <w:r>
        <w:t>SAWNEE EMC,</w:t>
      </w:r>
      <w:r>
        <w:tab/>
      </w:r>
      <w:r>
        <w:tab/>
      </w:r>
      <w:r>
        <w:tab/>
      </w:r>
      <w:r>
        <w:tab/>
        <w:t>)</w:t>
      </w:r>
    </w:p>
    <w:p>
      <w:r>
        <w:tab/>
      </w:r>
      <w:r>
        <w:tab/>
      </w:r>
      <w:r>
        <w:tab/>
      </w:r>
      <w:r>
        <w:tab/>
      </w:r>
      <w:r>
        <w:tab/>
      </w:r>
      <w:r>
        <w:tab/>
        <w:t>)</w:t>
      </w:r>
    </w:p>
    <w:p>
      <w:r>
        <w:tab/>
      </w:r>
      <w:r>
        <w:tab/>
      </w:r>
      <w:r>
        <w:tab/>
        <w:t>Petitioner,</w:t>
      </w:r>
      <w:r>
        <w:tab/>
      </w:r>
      <w:r>
        <w:tab/>
        <w:t>)</w:t>
      </w:r>
    </w:p>
    <w:p>
      <w:r>
        <w:tab/>
      </w:r>
      <w:r>
        <w:tab/>
      </w:r>
      <w:r>
        <w:tab/>
      </w:r>
      <w:r>
        <w:tab/>
      </w:r>
      <w:r>
        <w:tab/>
      </w:r>
      <w:r>
        <w:tab/>
        <w:t>)</w:t>
      </w:r>
    </w:p>
    <w:p>
      <w:r>
        <w:t>v.</w:t>
      </w:r>
      <w:r>
        <w:tab/>
      </w:r>
      <w:r>
        <w:tab/>
      </w:r>
      <w:r>
        <w:tab/>
      </w:r>
      <w:r>
        <w:tab/>
      </w:r>
      <w:r>
        <w:tab/>
      </w:r>
      <w:r>
        <w:tab/>
        <w:t>)</w:t>
      </w:r>
      <w:r>
        <w:tab/>
      </w:r>
      <w:r>
        <w:tab/>
        <w:t>Docket No. 43899</w:t>
      </w:r>
    </w:p>
    <w:p>
      <w:r>
        <w:tab/>
      </w:r>
      <w:r>
        <w:tab/>
      </w:r>
      <w:r>
        <w:tab/>
      </w:r>
      <w:r>
        <w:tab/>
      </w:r>
      <w:r>
        <w:tab/>
      </w:r>
      <w:r>
        <w:tab/>
        <w:t>)</w:t>
      </w:r>
    </w:p>
    <w:p>
      <w:r>
        <w:t>GEORGIA POWER COMPANY,</w:t>
      </w:r>
      <w:r>
        <w:tab/>
      </w:r>
      <w:r>
        <w:tab/>
        <w:t>)</w:t>
      </w:r>
    </w:p>
    <w:p>
      <w:r>
        <w:tab/>
      </w:r>
      <w:r>
        <w:tab/>
      </w:r>
      <w:r>
        <w:tab/>
      </w:r>
      <w:r>
        <w:tab/>
      </w:r>
      <w:r>
        <w:tab/>
      </w:r>
      <w:r>
        <w:tab/>
        <w:t>)</w:t>
      </w:r>
    </w:p>
    <w:p>
      <w:r>
        <w:tab/>
      </w:r>
      <w:r>
        <w:tab/>
      </w:r>
      <w:r>
        <w:tab/>
        <w:t>Respondent.</w:t>
      </w:r>
      <w:r>
        <w:tab/>
      </w:r>
      <w:r>
        <w:tab/>
        <w:t>)</w:t>
      </w:r>
    </w:p>
    <w:p/>
    <w:p/>
    <w:p>
      <w:pPr>
        <w:jc w:val="center"/>
      </w:pPr>
      <w:r>
        <w:rPr>
          <w:b/>
          <w:u w:val="single"/>
        </w:rPr>
        <w:t>CERTIFICATE OF SERVICE</w:t>
      </w:r>
    </w:p>
    <w:p/>
    <w:p>
      <w:pPr>
        <w:spacing w:line="480" w:lineRule="auto"/>
      </w:pPr>
      <w:r>
        <w:tab/>
        <w:t xml:space="preserve">I hereby certify that I have this day served a copy of the within and foregoing </w:t>
      </w:r>
      <w:r>
        <w:rPr>
          <w:b/>
        </w:rPr>
        <w:t>SAWNEE EMC’S APPLICATION FOR FULL COMMISSION REVIEW OF HEARING OFFICER’S INITIAL DECISION</w:t>
      </w:r>
      <w:r>
        <w:t xml:space="preserve"> by email as follows:</w:t>
      </w:r>
    </w:p>
    <w:p>
      <w:pPr>
        <w:ind w:left="2160"/>
        <w:contextualSpacing/>
      </w:pPr>
      <w:r>
        <w:t>Sallie K. Tanner</w:t>
      </w:r>
    </w:p>
    <w:p>
      <w:pPr>
        <w:ind w:left="2160"/>
        <w:contextualSpacing/>
      </w:pPr>
      <w:r>
        <w:t>Executive Secretary</w:t>
      </w:r>
    </w:p>
    <w:p>
      <w:pPr>
        <w:ind w:left="2160"/>
        <w:contextualSpacing/>
      </w:pPr>
      <w:r>
        <w:t>Georgia Public Service Commission</w:t>
      </w:r>
    </w:p>
    <w:p>
      <w:pPr>
        <w:ind w:left="2160"/>
        <w:contextualSpacing/>
      </w:pPr>
      <w:r>
        <w:t>244 Washington Street, SW</w:t>
      </w:r>
    </w:p>
    <w:p>
      <w:pPr>
        <w:ind w:left="2160"/>
        <w:contextualSpacing/>
      </w:pPr>
      <w:r>
        <w:t>Atlanta, Georgia 30034</w:t>
      </w:r>
    </w:p>
    <w:p>
      <w:pPr>
        <w:ind w:left="2160"/>
        <w:contextualSpacing/>
      </w:pPr>
      <w:r>
        <w:t>reecem@psc.state.ga.us</w:t>
      </w:r>
    </w:p>
    <w:p>
      <w:pPr>
        <w:ind w:left="2160"/>
        <w:contextualSpacing/>
      </w:pPr>
    </w:p>
    <w:p>
      <w:pPr>
        <w:ind w:left="2160"/>
        <w:contextualSpacing/>
      </w:pPr>
      <w:r>
        <w:t>Nancy G. Gibson</w:t>
      </w:r>
    </w:p>
    <w:p>
      <w:pPr>
        <w:ind w:left="2160"/>
        <w:contextualSpacing/>
      </w:pPr>
      <w:r>
        <w:t>Hearing Officer</w:t>
      </w:r>
    </w:p>
    <w:p>
      <w:pPr>
        <w:ind w:left="2160"/>
        <w:contextualSpacing/>
      </w:pPr>
      <w:r>
        <w:t>Georgia Public Service Commission</w:t>
      </w:r>
    </w:p>
    <w:p>
      <w:pPr>
        <w:ind w:left="2160"/>
        <w:contextualSpacing/>
      </w:pPr>
      <w:r>
        <w:t>244 Washington Street, SW</w:t>
      </w:r>
    </w:p>
    <w:p>
      <w:pPr>
        <w:ind w:left="2160"/>
        <w:contextualSpacing/>
      </w:pPr>
      <w:r>
        <w:t>Atlanta, GA 30334</w:t>
      </w:r>
    </w:p>
    <w:p>
      <w:pPr>
        <w:ind w:left="2160"/>
        <w:contextualSpacing/>
      </w:pPr>
      <w:r>
        <w:t>ngibson@psc.state.ga.us</w:t>
      </w:r>
    </w:p>
    <w:p>
      <w:pPr>
        <w:ind w:left="2160"/>
        <w:contextualSpacing/>
      </w:pPr>
    </w:p>
    <w:p>
      <w:pPr>
        <w:ind w:left="2160"/>
        <w:contextualSpacing/>
      </w:pPr>
      <w:r>
        <w:t xml:space="preserve">Steve J. </w:t>
      </w:r>
      <w:proofErr w:type="spellStart"/>
      <w:r>
        <w:t>Hewitson</w:t>
      </w:r>
      <w:proofErr w:type="spellEnd"/>
    </w:p>
    <w:p>
      <w:pPr>
        <w:ind w:left="2160"/>
        <w:contextualSpacing/>
      </w:pPr>
      <w:r>
        <w:t>Robert P. Edwards, Jr.</w:t>
      </w:r>
    </w:p>
    <w:p>
      <w:pPr>
        <w:ind w:left="2160"/>
        <w:contextualSpacing/>
      </w:pPr>
      <w:r>
        <w:t>Allison W. Pryor</w:t>
      </w:r>
    </w:p>
    <w:p>
      <w:pPr>
        <w:ind w:left="2160"/>
        <w:contextualSpacing/>
      </w:pPr>
      <w:r>
        <w:t>Troutman Pepper Hamilton Sanders LLP</w:t>
      </w:r>
    </w:p>
    <w:p>
      <w:pPr>
        <w:ind w:left="2160"/>
        <w:contextualSpacing/>
      </w:pPr>
      <w:r>
        <w:t>600 Peachtree Street</w:t>
      </w:r>
    </w:p>
    <w:p>
      <w:pPr>
        <w:ind w:left="2160"/>
        <w:contextualSpacing/>
      </w:pPr>
      <w:r>
        <w:t>Suite 3000</w:t>
      </w:r>
    </w:p>
    <w:p>
      <w:pPr>
        <w:ind w:left="2160"/>
        <w:contextualSpacing/>
      </w:pPr>
      <w:r>
        <w:t>Atlanta, Georgia 30308</w:t>
      </w:r>
    </w:p>
    <w:p>
      <w:pPr>
        <w:ind w:left="2160"/>
        <w:contextualSpacing/>
      </w:pPr>
      <w:r>
        <w:t>steven.hewitson@troutman.com</w:t>
      </w:r>
    </w:p>
    <w:p>
      <w:pPr>
        <w:ind w:left="2160"/>
        <w:contextualSpacing/>
      </w:pPr>
    </w:p>
    <w:p>
      <w:pPr>
        <w:ind w:left="2160"/>
        <w:contextualSpacing/>
      </w:pPr>
    </w:p>
    <w:p>
      <w:pPr>
        <w:ind w:left="2160"/>
        <w:contextualSpacing/>
      </w:pPr>
    </w:p>
    <w:p>
      <w:pPr>
        <w:keepNext/>
        <w:ind w:left="2160"/>
        <w:contextualSpacing/>
      </w:pPr>
      <w:r>
        <w:t>Robert S. Highsmith Jr.</w:t>
      </w:r>
    </w:p>
    <w:p>
      <w:pPr>
        <w:ind w:left="2160"/>
        <w:contextualSpacing/>
      </w:pPr>
      <w:r>
        <w:t>Holland &amp; Knight, LLP</w:t>
      </w:r>
    </w:p>
    <w:p>
      <w:pPr>
        <w:ind w:left="2160"/>
        <w:contextualSpacing/>
      </w:pPr>
      <w:r>
        <w:t>1180 West Peachtree Street</w:t>
      </w:r>
    </w:p>
    <w:p>
      <w:pPr>
        <w:ind w:left="2160"/>
        <w:contextualSpacing/>
      </w:pPr>
      <w:r>
        <w:t>Suite 1800</w:t>
      </w:r>
    </w:p>
    <w:p>
      <w:pPr>
        <w:ind w:left="2160"/>
        <w:contextualSpacing/>
      </w:pPr>
      <w:r>
        <w:t>Atlanta, Georgia 30309</w:t>
      </w:r>
    </w:p>
    <w:p>
      <w:pPr>
        <w:ind w:left="2160"/>
        <w:contextualSpacing/>
      </w:pPr>
      <w:r>
        <w:t>robert.highsmith@hklaw.com</w:t>
      </w:r>
    </w:p>
    <w:p>
      <w:pPr>
        <w:ind w:left="2160"/>
        <w:contextualSpacing/>
      </w:pPr>
    </w:p>
    <w:p>
      <w:pPr>
        <w:ind w:left="2160"/>
        <w:contextualSpacing/>
      </w:pPr>
      <w:r>
        <w:t xml:space="preserve">Bernice I. </w:t>
      </w:r>
      <w:proofErr w:type="spellStart"/>
      <w:r>
        <w:t>Corman</w:t>
      </w:r>
      <w:proofErr w:type="spellEnd"/>
    </w:p>
    <w:p>
      <w:pPr>
        <w:ind w:left="2160"/>
        <w:contextualSpacing/>
      </w:pPr>
      <w:proofErr w:type="spellStart"/>
      <w:r>
        <w:t>Bicky</w:t>
      </w:r>
      <w:proofErr w:type="spellEnd"/>
      <w:r>
        <w:t xml:space="preserve"> </w:t>
      </w:r>
      <w:proofErr w:type="spellStart"/>
      <w:r>
        <w:t>Corman</w:t>
      </w:r>
      <w:proofErr w:type="spellEnd"/>
      <w:r>
        <w:t xml:space="preserve"> Law, PLLC</w:t>
      </w:r>
    </w:p>
    <w:p>
      <w:pPr>
        <w:ind w:left="2160"/>
        <w:contextualSpacing/>
      </w:pPr>
      <w:r>
        <w:t>1250 Connecticut Avenue, NW</w:t>
      </w:r>
    </w:p>
    <w:p>
      <w:pPr>
        <w:ind w:left="2160"/>
        <w:contextualSpacing/>
      </w:pPr>
      <w:r>
        <w:t>Suite 700</w:t>
      </w:r>
    </w:p>
    <w:p>
      <w:pPr>
        <w:ind w:left="2160"/>
        <w:contextualSpacing/>
      </w:pPr>
      <w:r>
        <w:t>Washington, DC 20036</w:t>
      </w:r>
    </w:p>
    <w:p>
      <w:pPr>
        <w:ind w:left="2160"/>
        <w:contextualSpacing/>
      </w:pPr>
      <w:r>
        <w:t>bcorman@bickycormanlaw.com</w:t>
      </w:r>
    </w:p>
    <w:p>
      <w:pPr>
        <w:ind w:left="2160"/>
        <w:contextualSpacing/>
        <w:rPr>
          <w:i/>
        </w:rPr>
      </w:pPr>
    </w:p>
    <w:p>
      <w:pPr>
        <w:spacing w:line="480" w:lineRule="auto"/>
      </w:pPr>
      <w:r>
        <w:t xml:space="preserve">I have also filed a copy of the forgoing with the Commission via the Commission’s Alternative </w:t>
      </w:r>
      <w:proofErr w:type="spellStart"/>
      <w:r>
        <w:t>eMail</w:t>
      </w:r>
      <w:proofErr w:type="spellEnd"/>
      <w:r>
        <w:t xml:space="preserve"> procedure.</w:t>
      </w:r>
    </w:p>
    <w:p>
      <w:r>
        <w:tab/>
        <w:t>This 23rd day of June, 2022.</w:t>
      </w:r>
    </w:p>
    <w:p/>
    <w:p/>
    <w:p>
      <w:pPr>
        <w:ind w:left="4320"/>
        <w:contextualSpacing/>
      </w:pPr>
      <w:r>
        <w:rPr>
          <w:u w:val="single"/>
        </w:rPr>
        <w:tab/>
      </w:r>
      <w:r>
        <w:rPr>
          <w:u w:val="single"/>
        </w:rPr>
        <w:tab/>
      </w:r>
      <w:r>
        <w:rPr>
          <w:u w:val="single"/>
        </w:rPr>
        <w:tab/>
      </w:r>
      <w:r>
        <w:rPr>
          <w:u w:val="single"/>
        </w:rPr>
        <w:tab/>
      </w:r>
      <w:r>
        <w:rPr>
          <w:u w:val="single"/>
        </w:rPr>
        <w:tab/>
      </w:r>
    </w:p>
    <w:p>
      <w:pPr>
        <w:ind w:left="4320"/>
        <w:contextualSpacing/>
      </w:pPr>
      <w:r>
        <w:t xml:space="preserve">James A. Orr (Ga. </w:t>
      </w:r>
      <w:proofErr w:type="gramStart"/>
      <w:r>
        <w:t>Bar</w:t>
      </w:r>
      <w:proofErr w:type="gramEnd"/>
      <w:r>
        <w:t xml:space="preserve"> No. 554608)</w:t>
      </w:r>
    </w:p>
    <w:p>
      <w:pPr>
        <w:ind w:left="4320"/>
        <w:contextualSpacing/>
      </w:pPr>
      <w:r>
        <w:t>EVERSHEDS SUTHERLAND (US) LLP</w:t>
      </w:r>
    </w:p>
    <w:p>
      <w:pPr>
        <w:ind w:left="4320"/>
        <w:contextualSpacing/>
      </w:pPr>
      <w:r>
        <w:t>999 Peachtree Street, N.E., Suite 2300</w:t>
      </w:r>
    </w:p>
    <w:p>
      <w:pPr>
        <w:ind w:left="4320"/>
        <w:contextualSpacing/>
      </w:pPr>
      <w:r>
        <w:t>Atlanta, Georgia 30309-3996</w:t>
      </w:r>
    </w:p>
    <w:p>
      <w:pPr>
        <w:ind w:left="4320"/>
        <w:contextualSpacing/>
      </w:pPr>
      <w:r>
        <w:t>(404) 853-8000</w:t>
      </w:r>
    </w:p>
    <w:p>
      <w:pPr>
        <w:ind w:left="4320"/>
        <w:contextualSpacing/>
      </w:pPr>
      <w:r>
        <w:t>jamesorr@eversheds-sutherland.com</w:t>
      </w:r>
    </w:p>
    <w:p>
      <w:pPr>
        <w:ind w:left="4320"/>
        <w:contextualSpacing/>
      </w:pPr>
      <w:r>
        <w:t xml:space="preserve">Attorney for </w:t>
      </w:r>
      <w:proofErr w:type="spellStart"/>
      <w:r>
        <w:t>Sawnee</w:t>
      </w:r>
      <w:proofErr w:type="spellEnd"/>
      <w:r>
        <w:t xml:space="preserve"> EMC</w:t>
      </w:r>
    </w:p>
    <w:p>
      <w:pPr>
        <w:spacing w:line="480" w:lineRule="auto"/>
      </w:pPr>
    </w:p>
    <w:p/>
    <w:p/>
    <w:p>
      <w:pPr>
        <w:spacing w:line="480" w:lineRule="auto"/>
      </w:pPr>
    </w:p>
    <w:p>
      <w:pPr>
        <w:spacing w:line="480" w:lineRule="auto"/>
      </w:pPr>
    </w:p>
    <w:p>
      <w:pPr>
        <w:spacing w:line="480" w:lineRule="auto"/>
      </w:pPr>
    </w:p>
    <w:p>
      <w:pPr>
        <w:spacing w:line="480" w:lineRule="auto"/>
      </w:pPr>
    </w:p>
    <w:p>
      <w:pPr>
        <w:spacing w:line="480" w:lineRule="auto"/>
      </w:pPr>
    </w:p>
    <w:p>
      <w:r>
        <w:tab/>
      </w:r>
    </w:p>
    <w:p>
      <w:pPr>
        <w:spacing w:line="480" w:lineRule="auto"/>
      </w:pPr>
    </w:p>
    <w:sectPr>
      <w:footerReference w:type="defaul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6196209"/>
      <w:docPartObj>
        <w:docPartGallery w:val="Page Numbers (Bottom of Page)"/>
        <w:docPartUnique/>
      </w:docPartObj>
    </w:sdtPr>
    <w:sdtEndPr>
      <w:rPr>
        <w:noProof/>
      </w:rPr>
    </w:sdtEndPr>
    <w:sdtContent>
      <w:p>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pPr>
      <w:pStyle w:val="Foo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615736"/>
      <w:docPartObj>
        <w:docPartGallery w:val="Page Numbers (Bottom of Page)"/>
        <w:docPartUnique/>
      </w:docPartObj>
    </w:sdtPr>
    <w:sdtEndPr>
      <w:rPr>
        <w:noProof/>
      </w:rPr>
    </w:sdtEndPr>
    <w:sdtContent>
      <w:p>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4E89A7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DFA22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03C32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AC2AC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C027D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68A1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5E4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CBA28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EE8B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D4C7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0D716F"/>
    <w:multiLevelType w:val="multilevel"/>
    <w:tmpl w:val="18FA6E86"/>
    <w:lvl w:ilvl="0">
      <w:start w:val="1"/>
      <w:numFmt w:val="upperRoman"/>
      <w:lvlText w:val="%1."/>
      <w:lvlJc w:val="left"/>
      <w:pPr>
        <w:ind w:left="720" w:hanging="720"/>
      </w:pPr>
    </w:lvl>
    <w:lvl w:ilvl="1">
      <w:start w:val="1"/>
      <w:numFmt w:val="upperLetter"/>
      <w:lvlText w:val="%2."/>
      <w:lvlJc w:val="left"/>
      <w:pPr>
        <w:ind w:left="720" w:hanging="720"/>
      </w:pPr>
    </w:lvl>
    <w:lvl w:ilvl="2">
      <w:start w:val="1"/>
      <w:numFmt w:val="upperLetter"/>
      <w:lvlText w:val="%3."/>
      <w:lvlJc w:val="left"/>
      <w:pPr>
        <w:ind w:left="144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429150A"/>
    <w:multiLevelType w:val="hybridMultilevel"/>
    <w:tmpl w:val="AD8AF3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D007BC"/>
    <w:multiLevelType w:val="hybridMultilevel"/>
    <w:tmpl w:val="DB748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0DE323-6779-421E-8CDB-BEA9F013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2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36" w:unhideWhenUsed="1" w:qFormat="1"/>
    <w:lsdException w:name="heading 6" w:semiHidden="1" w:uiPriority="36" w:unhideWhenUsed="1" w:qFormat="1"/>
    <w:lsdException w:name="heading 7" w:semiHidden="1" w:uiPriority="36" w:unhideWhenUsed="1" w:qFormat="1"/>
    <w:lsdException w:name="heading 8" w:semiHidden="1" w:uiPriority="36" w:unhideWhenUsed="1" w:qFormat="1"/>
    <w:lsdException w:name="heading 9" w:semiHidden="1" w:uiPriority="36"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6" w:unhideWhenUsed="1"/>
    <w:lsdException w:name="toc 2" w:semiHidden="1" w:uiPriority="56" w:unhideWhenUsed="1"/>
    <w:lsdException w:name="toc 3" w:semiHidden="1" w:uiPriority="56" w:unhideWhenUsed="1"/>
    <w:lsdException w:name="toc 4" w:semiHidden="1" w:uiPriority="56" w:unhideWhenUsed="1"/>
    <w:lsdException w:name="toc 5" w:semiHidden="1" w:uiPriority="56" w:unhideWhenUsed="1"/>
    <w:lsdException w:name="toc 6" w:semiHidden="1" w:uiPriority="56" w:unhideWhenUsed="1"/>
    <w:lsdException w:name="toc 7" w:semiHidden="1" w:uiPriority="56" w:unhideWhenUsed="1"/>
    <w:lsdException w:name="toc 8" w:semiHidden="1" w:uiPriority="56" w:unhideWhenUsed="1"/>
    <w:lsdException w:name="toc 9" w:semiHidden="1" w:uiPriority="56"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4"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 w:unhideWhenUsed="1" w:qFormat="1"/>
    <w:lsdException w:name="Body Text 3" w:semiHidden="1" w:uiPriority="4" w:unhideWhenUsed="1" w:qFormat="1"/>
    <w:lsdException w:name="Body Text Indent 2" w:semiHidden="1" w:unhideWhenUsed="1"/>
    <w:lsdException w:name="Body Text Indent 3" w:semiHidden="1" w:unhideWhenUsed="1"/>
    <w:lsdException w:name="Block Text" w:semiHidden="1" w:uiPriority="1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5"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1"/>
    <w:pPr>
      <w:spacing w:after="0" w:line="240" w:lineRule="auto"/>
    </w:pPr>
    <w:rPr>
      <w:rFonts w:ascii="Times New Roman" w:hAnsi="Times New Roman"/>
      <w:sz w:val="24"/>
      <w:szCs w:val="24"/>
    </w:rPr>
  </w:style>
  <w:style w:type="paragraph" w:styleId="Heading1">
    <w:name w:val="heading 1"/>
    <w:basedOn w:val="Normal"/>
    <w:next w:val="Heading2"/>
    <w:link w:val="Heading1Char"/>
    <w:uiPriority w:val="9"/>
    <w:qFormat/>
    <w:pPr>
      <w:keepNext/>
      <w:keepLines/>
      <w:spacing w:before="240" w:after="240"/>
      <w:outlineLvl w:val="0"/>
    </w:pPr>
    <w:rPr>
      <w:rFonts w:eastAsiaTheme="majorEastAsia" w:cstheme="majorBidi"/>
      <w:b/>
      <w:szCs w:val="32"/>
    </w:rPr>
  </w:style>
  <w:style w:type="paragraph" w:styleId="Heading2">
    <w:name w:val="heading 2"/>
    <w:basedOn w:val="Normal"/>
    <w:next w:val="Heading3"/>
    <w:link w:val="Heading2Char"/>
    <w:uiPriority w:val="9"/>
    <w:qFormat/>
    <w:pPr>
      <w:spacing w:before="240" w:after="240"/>
      <w:outlineLvl w:val="1"/>
    </w:pPr>
    <w:rPr>
      <w:rFonts w:eastAsiaTheme="majorEastAsia" w:cstheme="majorBidi"/>
      <w:szCs w:val="26"/>
      <w:u w:val="single"/>
    </w:rPr>
  </w:style>
  <w:style w:type="paragraph" w:styleId="Heading3">
    <w:name w:val="heading 3"/>
    <w:basedOn w:val="Normal"/>
    <w:link w:val="Heading3Char"/>
    <w:uiPriority w:val="9"/>
    <w:qFormat/>
    <w:pPr>
      <w:spacing w:after="240"/>
      <w:outlineLvl w:val="2"/>
    </w:pPr>
    <w:rPr>
      <w:rFonts w:eastAsiaTheme="majorEastAsia" w:cstheme="majorBidi"/>
    </w:rPr>
  </w:style>
  <w:style w:type="paragraph" w:styleId="Heading4">
    <w:name w:val="heading 4"/>
    <w:basedOn w:val="Normal"/>
    <w:link w:val="Heading4Char"/>
    <w:uiPriority w:val="9"/>
    <w:pPr>
      <w:spacing w:after="240"/>
      <w:outlineLvl w:val="3"/>
    </w:pPr>
    <w:rPr>
      <w:rFonts w:eastAsiaTheme="majorEastAsia" w:cstheme="majorBidi"/>
      <w:iCs/>
    </w:rPr>
  </w:style>
  <w:style w:type="paragraph" w:styleId="Heading5">
    <w:name w:val="heading 5"/>
    <w:basedOn w:val="Normal"/>
    <w:link w:val="Heading5Char"/>
    <w:uiPriority w:val="36"/>
    <w:pPr>
      <w:spacing w:after="240"/>
      <w:outlineLvl w:val="4"/>
    </w:pPr>
    <w:rPr>
      <w:rFonts w:eastAsiaTheme="majorEastAsia" w:cstheme="majorBidi"/>
    </w:rPr>
  </w:style>
  <w:style w:type="paragraph" w:styleId="Heading6">
    <w:name w:val="heading 6"/>
    <w:basedOn w:val="Normal"/>
    <w:link w:val="Heading6Char"/>
    <w:uiPriority w:val="36"/>
    <w:pPr>
      <w:spacing w:after="240"/>
      <w:outlineLvl w:val="5"/>
    </w:pPr>
    <w:rPr>
      <w:rFonts w:eastAsiaTheme="majorEastAsia" w:cstheme="majorBidi"/>
    </w:rPr>
  </w:style>
  <w:style w:type="paragraph" w:styleId="Heading7">
    <w:name w:val="heading 7"/>
    <w:basedOn w:val="Normal"/>
    <w:link w:val="Heading7Char"/>
    <w:uiPriority w:val="36"/>
    <w:pPr>
      <w:spacing w:after="240"/>
      <w:outlineLvl w:val="6"/>
    </w:pPr>
    <w:rPr>
      <w:rFonts w:eastAsiaTheme="majorEastAsia" w:cstheme="majorBidi"/>
      <w:iCs/>
    </w:rPr>
  </w:style>
  <w:style w:type="paragraph" w:styleId="Heading8">
    <w:name w:val="heading 8"/>
    <w:basedOn w:val="Normal"/>
    <w:link w:val="Heading8Char"/>
    <w:uiPriority w:val="36"/>
    <w:pPr>
      <w:spacing w:after="240"/>
      <w:outlineLvl w:val="7"/>
    </w:pPr>
    <w:rPr>
      <w:rFonts w:eastAsiaTheme="majorEastAsia" w:cstheme="majorBidi"/>
      <w:szCs w:val="21"/>
    </w:rPr>
  </w:style>
  <w:style w:type="paragraph" w:styleId="Heading9">
    <w:name w:val="heading 9"/>
    <w:basedOn w:val="Normal"/>
    <w:link w:val="Heading9Char"/>
    <w:uiPriority w:val="36"/>
    <w:pPr>
      <w:spacing w:after="240"/>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Pr>
      <w:rFonts w:ascii="Times New Roman" w:eastAsiaTheme="majorEastAsia" w:hAnsi="Times New Roman" w:cstheme="majorBidi"/>
      <w:iCs/>
      <w:sz w:val="24"/>
      <w:szCs w:val="24"/>
    </w:rPr>
  </w:style>
  <w:style w:type="character" w:customStyle="1" w:styleId="Heading5Char">
    <w:name w:val="Heading 5 Char"/>
    <w:basedOn w:val="DefaultParagraphFont"/>
    <w:link w:val="Heading5"/>
    <w:uiPriority w:val="36"/>
    <w:rPr>
      <w:rFonts w:ascii="Times New Roman" w:eastAsiaTheme="majorEastAsia" w:hAnsi="Times New Roman" w:cstheme="majorBidi"/>
      <w:sz w:val="24"/>
      <w:szCs w:val="24"/>
    </w:rPr>
  </w:style>
  <w:style w:type="character" w:customStyle="1" w:styleId="Heading6Char">
    <w:name w:val="Heading 6 Char"/>
    <w:basedOn w:val="DefaultParagraphFont"/>
    <w:link w:val="Heading6"/>
    <w:uiPriority w:val="36"/>
    <w:rPr>
      <w:rFonts w:ascii="Times New Roman" w:eastAsiaTheme="majorEastAsia" w:hAnsi="Times New Roman" w:cstheme="majorBidi"/>
      <w:sz w:val="24"/>
      <w:szCs w:val="24"/>
    </w:rPr>
  </w:style>
  <w:style w:type="character" w:customStyle="1" w:styleId="Heading7Char">
    <w:name w:val="Heading 7 Char"/>
    <w:basedOn w:val="DefaultParagraphFont"/>
    <w:link w:val="Heading7"/>
    <w:uiPriority w:val="36"/>
    <w:rPr>
      <w:rFonts w:ascii="Times New Roman" w:eastAsiaTheme="majorEastAsia" w:hAnsi="Times New Roman" w:cstheme="majorBidi"/>
      <w:iCs/>
      <w:sz w:val="24"/>
      <w:szCs w:val="24"/>
    </w:rPr>
  </w:style>
  <w:style w:type="character" w:customStyle="1" w:styleId="Heading8Char">
    <w:name w:val="Heading 8 Char"/>
    <w:basedOn w:val="DefaultParagraphFont"/>
    <w:link w:val="Heading8"/>
    <w:uiPriority w:val="36"/>
    <w:rPr>
      <w:rFonts w:ascii="Times New Roman" w:eastAsiaTheme="majorEastAsia" w:hAnsi="Times New Roman" w:cstheme="majorBidi"/>
      <w:sz w:val="24"/>
      <w:szCs w:val="21"/>
    </w:rPr>
  </w:style>
  <w:style w:type="character" w:customStyle="1" w:styleId="Heading9Char">
    <w:name w:val="Heading 9 Char"/>
    <w:basedOn w:val="DefaultParagraphFont"/>
    <w:link w:val="Heading9"/>
    <w:uiPriority w:val="36"/>
    <w:rPr>
      <w:rFonts w:ascii="Times New Roman" w:eastAsiaTheme="majorEastAsia" w:hAnsi="Times New Roman" w:cstheme="majorBidi"/>
      <w:iCs/>
      <w:sz w:val="24"/>
      <w:szCs w:val="21"/>
    </w:rPr>
  </w:style>
  <w:style w:type="paragraph" w:customStyle="1" w:styleId="BodyText4">
    <w:name w:val="Body Text 4"/>
    <w:basedOn w:val="Normal"/>
    <w:link w:val="BodyText4Char"/>
    <w:uiPriority w:val="4"/>
    <w:unhideWhenUsed/>
    <w:pPr>
      <w:spacing w:after="240"/>
      <w:ind w:firstLine="720"/>
    </w:pPr>
  </w:style>
  <w:style w:type="paragraph" w:customStyle="1" w:styleId="BodyText5">
    <w:name w:val="Body Text 5"/>
    <w:basedOn w:val="Normal"/>
    <w:link w:val="BodyText5Char"/>
    <w:uiPriority w:val="36"/>
    <w:unhideWhenUsed/>
    <w:pPr>
      <w:spacing w:after="240"/>
      <w:ind w:firstLine="720"/>
    </w:pPr>
  </w:style>
  <w:style w:type="paragraph" w:customStyle="1" w:styleId="BodyText6">
    <w:name w:val="Body Text 6"/>
    <w:basedOn w:val="Normal"/>
    <w:link w:val="BodyText6Char"/>
    <w:uiPriority w:val="36"/>
    <w:unhideWhenUsed/>
    <w:pPr>
      <w:spacing w:after="240"/>
      <w:ind w:firstLine="720"/>
    </w:pPr>
  </w:style>
  <w:style w:type="paragraph" w:customStyle="1" w:styleId="BodyText7">
    <w:name w:val="Body Text 7"/>
    <w:basedOn w:val="Normal"/>
    <w:link w:val="BodyText7Char"/>
    <w:uiPriority w:val="36"/>
    <w:unhideWhenUsed/>
    <w:pPr>
      <w:spacing w:after="240"/>
      <w:ind w:firstLine="720"/>
    </w:pPr>
  </w:style>
  <w:style w:type="paragraph" w:customStyle="1" w:styleId="BodyText8">
    <w:name w:val="Body Text 8"/>
    <w:basedOn w:val="Normal"/>
    <w:link w:val="BodyText8Char"/>
    <w:uiPriority w:val="36"/>
    <w:unhideWhenUsed/>
    <w:pPr>
      <w:spacing w:after="240"/>
      <w:ind w:firstLine="720"/>
    </w:pPr>
  </w:style>
  <w:style w:type="paragraph" w:customStyle="1" w:styleId="BodyText9">
    <w:name w:val="Body Text 9"/>
    <w:basedOn w:val="Normal"/>
    <w:link w:val="BodyText9Char"/>
    <w:uiPriority w:val="36"/>
    <w:unhideWhenUsed/>
    <w:pPr>
      <w:spacing w:after="240"/>
      <w:ind w:firstLine="720"/>
    </w:pPr>
  </w:style>
  <w:style w:type="character" w:customStyle="1" w:styleId="BodyText4Char">
    <w:name w:val="Body Text 4 Char"/>
    <w:basedOn w:val="DefaultParagraphFont"/>
    <w:link w:val="BodyText4"/>
    <w:uiPriority w:val="4"/>
    <w:rPr>
      <w:rFonts w:ascii="Times New Roman" w:hAnsi="Times New Roman"/>
      <w:sz w:val="24"/>
      <w:szCs w:val="24"/>
    </w:rPr>
  </w:style>
  <w:style w:type="character" w:customStyle="1" w:styleId="BodyText5Char">
    <w:name w:val="Body Text 5 Char"/>
    <w:basedOn w:val="DefaultParagraphFont"/>
    <w:link w:val="BodyText5"/>
    <w:uiPriority w:val="36"/>
    <w:rPr>
      <w:rFonts w:ascii="Times New Roman" w:hAnsi="Times New Roman"/>
      <w:sz w:val="24"/>
      <w:szCs w:val="24"/>
    </w:rPr>
  </w:style>
  <w:style w:type="character" w:customStyle="1" w:styleId="BodyText6Char">
    <w:name w:val="Body Text 6 Char"/>
    <w:basedOn w:val="DefaultParagraphFont"/>
    <w:link w:val="BodyText6"/>
    <w:uiPriority w:val="36"/>
    <w:rPr>
      <w:rFonts w:ascii="Times New Roman" w:hAnsi="Times New Roman"/>
      <w:sz w:val="24"/>
      <w:szCs w:val="24"/>
    </w:rPr>
  </w:style>
  <w:style w:type="character" w:customStyle="1" w:styleId="BodyText7Char">
    <w:name w:val="Body Text 7 Char"/>
    <w:basedOn w:val="DefaultParagraphFont"/>
    <w:link w:val="BodyText7"/>
    <w:uiPriority w:val="36"/>
    <w:rPr>
      <w:rFonts w:ascii="Times New Roman" w:hAnsi="Times New Roman"/>
      <w:sz w:val="24"/>
      <w:szCs w:val="24"/>
    </w:rPr>
  </w:style>
  <w:style w:type="character" w:customStyle="1" w:styleId="BodyText8Char">
    <w:name w:val="Body Text 8 Char"/>
    <w:basedOn w:val="DefaultParagraphFont"/>
    <w:link w:val="BodyText8"/>
    <w:uiPriority w:val="36"/>
    <w:rPr>
      <w:rFonts w:ascii="Times New Roman" w:hAnsi="Times New Roman"/>
      <w:sz w:val="24"/>
      <w:szCs w:val="24"/>
    </w:rPr>
  </w:style>
  <w:style w:type="character" w:customStyle="1" w:styleId="BodyText9Char">
    <w:name w:val="Body Text 9 Char"/>
    <w:basedOn w:val="DefaultParagraphFont"/>
    <w:link w:val="BodyText9"/>
    <w:uiPriority w:val="36"/>
    <w:rPr>
      <w:rFonts w:ascii="Times New Roman" w:hAnsi="Times New Roman"/>
      <w:sz w:val="24"/>
      <w:szCs w:val="24"/>
    </w:rPr>
  </w:style>
  <w:style w:type="paragraph" w:styleId="BodyText">
    <w:name w:val="Body Text"/>
    <w:basedOn w:val="Normal"/>
    <w:link w:val="BodyTextChar"/>
    <w:uiPriority w:val="4"/>
    <w:qFormat/>
    <w:pPr>
      <w:spacing w:after="240"/>
      <w:ind w:firstLine="720"/>
    </w:pPr>
  </w:style>
  <w:style w:type="character" w:customStyle="1" w:styleId="BodyTextChar">
    <w:name w:val="Body Text Char"/>
    <w:basedOn w:val="DefaultParagraphFont"/>
    <w:link w:val="BodyText"/>
    <w:uiPriority w:val="4"/>
    <w:rPr>
      <w:rFonts w:ascii="Times New Roman" w:hAnsi="Times New Roman"/>
      <w:sz w:val="24"/>
      <w:szCs w:val="24"/>
    </w:rPr>
  </w:style>
  <w:style w:type="paragraph" w:styleId="BodyText2">
    <w:name w:val="Body Text 2"/>
    <w:basedOn w:val="Normal"/>
    <w:link w:val="BodyText2Char"/>
    <w:uiPriority w:val="4"/>
    <w:qFormat/>
    <w:pPr>
      <w:spacing w:after="240"/>
      <w:ind w:firstLine="720"/>
    </w:pPr>
  </w:style>
  <w:style w:type="character" w:customStyle="1" w:styleId="BodyText2Char">
    <w:name w:val="Body Text 2 Char"/>
    <w:basedOn w:val="DefaultParagraphFont"/>
    <w:link w:val="BodyText2"/>
    <w:uiPriority w:val="4"/>
    <w:rPr>
      <w:rFonts w:ascii="Times New Roman" w:hAnsi="Times New Roman"/>
      <w:sz w:val="24"/>
      <w:szCs w:val="24"/>
    </w:rPr>
  </w:style>
  <w:style w:type="paragraph" w:styleId="BodyText3">
    <w:name w:val="Body Text 3"/>
    <w:basedOn w:val="Normal"/>
    <w:link w:val="BodyText3Char"/>
    <w:uiPriority w:val="4"/>
    <w:qFormat/>
    <w:pPr>
      <w:spacing w:after="240"/>
      <w:ind w:firstLine="720"/>
    </w:pPr>
    <w:rPr>
      <w:szCs w:val="16"/>
    </w:rPr>
  </w:style>
  <w:style w:type="character" w:customStyle="1" w:styleId="BodyText3Char">
    <w:name w:val="Body Text 3 Char"/>
    <w:basedOn w:val="DefaultParagraphFont"/>
    <w:link w:val="BodyText3"/>
    <w:uiPriority w:val="4"/>
    <w:rPr>
      <w:rFonts w:ascii="Times New Roman" w:hAnsi="Times New Roman"/>
      <w:sz w:val="24"/>
      <w:szCs w:val="16"/>
    </w:rPr>
  </w:style>
  <w:style w:type="paragraph" w:customStyle="1" w:styleId="Para1D">
    <w:name w:val="Para 1 D"/>
    <w:basedOn w:val="Normal"/>
    <w:uiPriority w:val="49"/>
    <w:pPr>
      <w:spacing w:line="480" w:lineRule="auto"/>
      <w:ind w:firstLine="1440"/>
    </w:pPr>
  </w:style>
  <w:style w:type="paragraph" w:customStyle="1" w:styleId="Para1H">
    <w:name w:val="Para 1 H"/>
    <w:basedOn w:val="Normal"/>
    <w:uiPriority w:val="49"/>
    <w:pPr>
      <w:spacing w:line="360" w:lineRule="auto"/>
      <w:ind w:firstLine="1440"/>
    </w:pPr>
  </w:style>
  <w:style w:type="paragraph" w:customStyle="1" w:styleId="Para1S">
    <w:name w:val="Para 1 S"/>
    <w:basedOn w:val="Normal"/>
    <w:uiPriority w:val="49"/>
    <w:pPr>
      <w:spacing w:after="240"/>
      <w:ind w:firstLine="1440"/>
    </w:pPr>
  </w:style>
  <w:style w:type="paragraph" w:customStyle="1" w:styleId="Para0S">
    <w:name w:val="Para 0 S"/>
    <w:basedOn w:val="Normal"/>
    <w:uiPriority w:val="49"/>
    <w:pPr>
      <w:spacing w:after="240"/>
    </w:pPr>
  </w:style>
  <w:style w:type="paragraph" w:customStyle="1" w:styleId="Para5D">
    <w:name w:val="Para 5 D"/>
    <w:basedOn w:val="Normal"/>
    <w:uiPriority w:val="49"/>
    <w:pPr>
      <w:spacing w:line="480" w:lineRule="auto"/>
      <w:ind w:firstLine="720"/>
    </w:pPr>
  </w:style>
  <w:style w:type="paragraph" w:customStyle="1" w:styleId="Para5H">
    <w:name w:val="Para 5 H"/>
    <w:basedOn w:val="Normal"/>
    <w:uiPriority w:val="49"/>
    <w:pPr>
      <w:spacing w:line="360" w:lineRule="auto"/>
      <w:ind w:firstLine="720"/>
    </w:pPr>
  </w:style>
  <w:style w:type="paragraph" w:customStyle="1" w:styleId="Para5S">
    <w:name w:val="Para 5 S"/>
    <w:basedOn w:val="Normal"/>
    <w:uiPriority w:val="49"/>
    <w:pPr>
      <w:spacing w:after="240"/>
      <w:ind w:firstLine="720"/>
    </w:pPr>
  </w:style>
  <w:style w:type="paragraph" w:styleId="Title">
    <w:name w:val="Title"/>
    <w:basedOn w:val="Normal"/>
    <w:next w:val="Normal"/>
    <w:link w:val="TitleChar"/>
    <w:uiPriority w:val="14"/>
    <w:qFormat/>
    <w:pPr>
      <w:keepNext/>
      <w:keepLines/>
      <w:spacing w:before="240" w:after="240"/>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4"/>
    <w:rPr>
      <w:rFonts w:ascii="Times New Roman" w:eastAsiaTheme="majorEastAsia" w:hAnsi="Times New Roman" w:cstheme="majorBidi"/>
      <w:b/>
      <w:spacing w:val="-10"/>
      <w:kern w:val="28"/>
      <w:sz w:val="32"/>
      <w:szCs w:val="56"/>
    </w:rPr>
  </w:style>
  <w:style w:type="paragraph" w:styleId="Subtitle">
    <w:name w:val="Subtitle"/>
    <w:basedOn w:val="Normal"/>
    <w:next w:val="Normal"/>
    <w:link w:val="SubtitleChar"/>
    <w:uiPriority w:val="15"/>
    <w:qFormat/>
    <w:pPr>
      <w:numPr>
        <w:ilvl w:val="1"/>
      </w:numPr>
      <w:spacing w:after="240"/>
      <w:jc w:val="center"/>
    </w:pPr>
    <w:rPr>
      <w:rFonts w:eastAsiaTheme="minorEastAsia"/>
      <w:sz w:val="28"/>
      <w:szCs w:val="22"/>
    </w:rPr>
  </w:style>
  <w:style w:type="character" w:customStyle="1" w:styleId="SubtitleChar">
    <w:name w:val="Subtitle Char"/>
    <w:basedOn w:val="DefaultParagraphFont"/>
    <w:link w:val="Subtitle"/>
    <w:uiPriority w:val="15"/>
    <w:rPr>
      <w:rFonts w:ascii="Times New Roman" w:eastAsiaTheme="minorEastAsia" w:hAnsi="Times New Roman"/>
      <w:sz w:val="28"/>
    </w:rPr>
  </w:style>
  <w:style w:type="paragraph" w:customStyle="1" w:styleId="TitleBC">
    <w:name w:val="Title BC"/>
    <w:basedOn w:val="Normal"/>
    <w:uiPriority w:val="35"/>
    <w:pPr>
      <w:keepNext/>
      <w:keepLines/>
      <w:spacing w:before="240" w:after="240"/>
      <w:jc w:val="center"/>
    </w:pPr>
    <w:rPr>
      <w:b/>
      <w:sz w:val="32"/>
    </w:rPr>
  </w:style>
  <w:style w:type="paragraph" w:customStyle="1" w:styleId="TitleBCAC">
    <w:name w:val="Title BC AC"/>
    <w:basedOn w:val="Normal"/>
    <w:uiPriority w:val="35"/>
    <w:pPr>
      <w:keepNext/>
      <w:keepLines/>
      <w:spacing w:before="240" w:after="240"/>
      <w:jc w:val="center"/>
    </w:pPr>
    <w:rPr>
      <w:b/>
      <w:caps/>
      <w:sz w:val="32"/>
    </w:rPr>
  </w:style>
  <w:style w:type="paragraph" w:customStyle="1" w:styleId="TitleBCSC">
    <w:name w:val="Title BC SC"/>
    <w:basedOn w:val="Normal"/>
    <w:uiPriority w:val="35"/>
    <w:pPr>
      <w:keepNext/>
      <w:keepLines/>
      <w:spacing w:before="240" w:after="240"/>
      <w:jc w:val="center"/>
    </w:pPr>
    <w:rPr>
      <w:b/>
      <w:smallCaps/>
      <w:sz w:val="32"/>
    </w:rPr>
  </w:style>
  <w:style w:type="paragraph" w:customStyle="1" w:styleId="TitleBL">
    <w:name w:val="Title BL"/>
    <w:basedOn w:val="Normal"/>
    <w:uiPriority w:val="35"/>
    <w:pPr>
      <w:keepNext/>
      <w:keepLines/>
      <w:spacing w:before="240" w:after="240"/>
    </w:pPr>
    <w:rPr>
      <w:b/>
      <w:sz w:val="32"/>
    </w:rPr>
  </w:style>
  <w:style w:type="paragraph" w:customStyle="1" w:styleId="TitleBUC">
    <w:name w:val="Title BUC"/>
    <w:basedOn w:val="Normal"/>
    <w:uiPriority w:val="35"/>
    <w:pPr>
      <w:keepNext/>
      <w:keepLines/>
      <w:spacing w:before="240" w:after="240"/>
      <w:jc w:val="center"/>
    </w:pPr>
    <w:rPr>
      <w:b/>
      <w:sz w:val="32"/>
      <w:u w:val="single"/>
    </w:rPr>
  </w:style>
  <w:style w:type="paragraph" w:customStyle="1" w:styleId="TitleBUL">
    <w:name w:val="Title BUL"/>
    <w:basedOn w:val="Normal"/>
    <w:uiPriority w:val="35"/>
    <w:pPr>
      <w:keepNext/>
      <w:keepLines/>
      <w:spacing w:before="240" w:after="240"/>
    </w:pPr>
    <w:rPr>
      <w:b/>
      <w:sz w:val="32"/>
      <w:u w:val="single"/>
    </w:rPr>
  </w:style>
  <w:style w:type="paragraph" w:customStyle="1" w:styleId="TitleBLAC">
    <w:name w:val="Title BL AC"/>
    <w:basedOn w:val="Normal"/>
    <w:uiPriority w:val="35"/>
    <w:pPr>
      <w:keepNext/>
      <w:keepLines/>
      <w:spacing w:before="240" w:after="240"/>
    </w:pPr>
    <w:rPr>
      <w:b/>
      <w:caps/>
      <w:sz w:val="32"/>
    </w:rPr>
  </w:style>
  <w:style w:type="paragraph" w:customStyle="1" w:styleId="TitleBUCAC">
    <w:name w:val="Title BUC AC"/>
    <w:basedOn w:val="Normal"/>
    <w:uiPriority w:val="35"/>
    <w:pPr>
      <w:keepNext/>
      <w:keepLines/>
      <w:spacing w:before="240" w:after="240"/>
      <w:jc w:val="center"/>
    </w:pPr>
    <w:rPr>
      <w:b/>
      <w:caps/>
      <w:sz w:val="32"/>
      <w:u w:val="single"/>
    </w:rPr>
  </w:style>
  <w:style w:type="paragraph" w:customStyle="1" w:styleId="TitleBULAC">
    <w:name w:val="Title BUL AC"/>
    <w:basedOn w:val="Normal"/>
    <w:uiPriority w:val="35"/>
    <w:pPr>
      <w:keepNext/>
      <w:keepLines/>
      <w:spacing w:before="240" w:after="240"/>
    </w:pPr>
    <w:rPr>
      <w:b/>
      <w:caps/>
      <w:sz w:val="32"/>
      <w:u w:val="single"/>
    </w:rPr>
  </w:style>
  <w:style w:type="paragraph" w:customStyle="1" w:styleId="TitleBLSC">
    <w:name w:val="Title BL SC"/>
    <w:basedOn w:val="Normal"/>
    <w:uiPriority w:val="35"/>
    <w:pPr>
      <w:keepNext/>
      <w:keepLines/>
      <w:spacing w:before="240" w:after="240"/>
    </w:pPr>
    <w:rPr>
      <w:b/>
      <w:smallCaps/>
      <w:sz w:val="32"/>
    </w:rPr>
  </w:style>
  <w:style w:type="paragraph" w:customStyle="1" w:styleId="TitleBUCSC">
    <w:name w:val="Title BUC SC"/>
    <w:basedOn w:val="Normal"/>
    <w:uiPriority w:val="35"/>
    <w:pPr>
      <w:keepNext/>
      <w:keepLines/>
      <w:spacing w:before="240" w:after="240"/>
      <w:jc w:val="center"/>
    </w:pPr>
    <w:rPr>
      <w:b/>
      <w:smallCaps/>
      <w:sz w:val="32"/>
      <w:u w:val="single"/>
    </w:rPr>
  </w:style>
  <w:style w:type="paragraph" w:customStyle="1" w:styleId="TitleBULSC">
    <w:name w:val="Title BUL SC"/>
    <w:basedOn w:val="Normal"/>
    <w:uiPriority w:val="35"/>
    <w:rPr>
      <w:b/>
      <w:smallCaps/>
      <w:sz w:val="32"/>
      <w:u w:val="single"/>
    </w:rPr>
  </w:style>
  <w:style w:type="paragraph" w:styleId="BlockText">
    <w:name w:val="Block Text"/>
    <w:basedOn w:val="Normal"/>
    <w:uiPriority w:val="19"/>
    <w:qFormat/>
    <w:pPr>
      <w:spacing w:after="240"/>
      <w:ind w:left="1440" w:right="1440"/>
    </w:pPr>
    <w:rPr>
      <w:rFonts w:eastAsiaTheme="minorEastAsia"/>
      <w:iCs/>
    </w:rPr>
  </w:style>
  <w:style w:type="paragraph" w:customStyle="1" w:styleId="BlockTextBorder">
    <w:name w:val="Block Text Border"/>
    <w:basedOn w:val="Normal"/>
    <w:uiPriority w:val="19"/>
    <w:unhideWhenUsed/>
    <w:pPr>
      <w:pBdr>
        <w:top w:val="single" w:sz="2" w:space="1" w:color="auto" w:shadow="1"/>
        <w:left w:val="single" w:sz="2" w:space="4" w:color="auto" w:shadow="1"/>
        <w:bottom w:val="single" w:sz="2" w:space="1" w:color="auto" w:shadow="1"/>
        <w:right w:val="single" w:sz="2" w:space="4" w:color="auto" w:shadow="1"/>
      </w:pBdr>
      <w:spacing w:after="120"/>
      <w:ind w:left="1440" w:right="1440"/>
    </w:pPr>
  </w:style>
  <w:style w:type="paragraph" w:customStyle="1" w:styleId="Block1D">
    <w:name w:val="Block 1 D"/>
    <w:basedOn w:val="Normal"/>
    <w:uiPriority w:val="44"/>
    <w:unhideWhenUsed/>
    <w:pPr>
      <w:spacing w:line="480" w:lineRule="auto"/>
      <w:ind w:left="1440" w:right="1440"/>
    </w:pPr>
  </w:style>
  <w:style w:type="paragraph" w:customStyle="1" w:styleId="Block1H">
    <w:name w:val="Block 1 H"/>
    <w:basedOn w:val="Normal"/>
    <w:uiPriority w:val="44"/>
    <w:unhideWhenUsed/>
    <w:pPr>
      <w:spacing w:after="120" w:line="360" w:lineRule="auto"/>
      <w:ind w:left="1440" w:right="1440"/>
    </w:pPr>
  </w:style>
  <w:style w:type="paragraph" w:customStyle="1" w:styleId="Block1S">
    <w:name w:val="Block 1 S"/>
    <w:basedOn w:val="Normal"/>
    <w:uiPriority w:val="44"/>
    <w:unhideWhenUsed/>
    <w:pPr>
      <w:spacing w:after="240"/>
      <w:ind w:left="1440" w:right="1440"/>
    </w:pPr>
  </w:style>
  <w:style w:type="paragraph" w:customStyle="1" w:styleId="Block5D">
    <w:name w:val="Block 5 D"/>
    <w:basedOn w:val="Normal"/>
    <w:uiPriority w:val="44"/>
    <w:unhideWhenUsed/>
    <w:pPr>
      <w:spacing w:line="480" w:lineRule="auto"/>
      <w:ind w:left="720" w:right="720"/>
    </w:pPr>
  </w:style>
  <w:style w:type="paragraph" w:customStyle="1" w:styleId="Block5H">
    <w:name w:val="Block 5 H"/>
    <w:basedOn w:val="Normal"/>
    <w:uiPriority w:val="44"/>
    <w:unhideWhenUsed/>
    <w:pPr>
      <w:spacing w:after="120" w:line="360" w:lineRule="auto"/>
      <w:ind w:left="720" w:right="720"/>
    </w:pPr>
  </w:style>
  <w:style w:type="paragraph" w:customStyle="1" w:styleId="Block5S">
    <w:name w:val="Block 5 S"/>
    <w:basedOn w:val="Normal"/>
    <w:uiPriority w:val="44"/>
    <w:unhideWhenUsed/>
    <w:pPr>
      <w:spacing w:after="240"/>
      <w:ind w:left="720" w:right="720"/>
    </w:pPr>
  </w:style>
  <w:style w:type="paragraph" w:customStyle="1" w:styleId="ParaInd1D">
    <w:name w:val="Para Ind 1 D"/>
    <w:basedOn w:val="Normal"/>
    <w:uiPriority w:val="54"/>
    <w:pPr>
      <w:spacing w:line="480" w:lineRule="auto"/>
      <w:ind w:left="1440"/>
    </w:pPr>
  </w:style>
  <w:style w:type="paragraph" w:customStyle="1" w:styleId="ParaInd1H">
    <w:name w:val="Para Ind 1 H"/>
    <w:basedOn w:val="Normal"/>
    <w:uiPriority w:val="54"/>
    <w:pPr>
      <w:spacing w:after="120" w:line="360" w:lineRule="auto"/>
      <w:ind w:left="1440"/>
    </w:pPr>
  </w:style>
  <w:style w:type="paragraph" w:customStyle="1" w:styleId="ParaInd1S">
    <w:name w:val="Para Ind 1 S"/>
    <w:basedOn w:val="Normal"/>
    <w:uiPriority w:val="54"/>
    <w:pPr>
      <w:spacing w:after="240"/>
      <w:ind w:left="1440"/>
    </w:pPr>
  </w:style>
  <w:style w:type="paragraph" w:customStyle="1" w:styleId="ParaInd5D">
    <w:name w:val="Para Ind 5 D"/>
    <w:basedOn w:val="Normal"/>
    <w:uiPriority w:val="54"/>
    <w:pPr>
      <w:spacing w:line="480" w:lineRule="auto"/>
      <w:ind w:left="720"/>
    </w:pPr>
  </w:style>
  <w:style w:type="paragraph" w:customStyle="1" w:styleId="ParaInd5H">
    <w:name w:val="Para Ind 5 H"/>
    <w:basedOn w:val="Normal"/>
    <w:uiPriority w:val="54"/>
    <w:pPr>
      <w:spacing w:after="120" w:line="360" w:lineRule="auto"/>
      <w:ind w:left="720"/>
    </w:pPr>
  </w:style>
  <w:style w:type="paragraph" w:customStyle="1" w:styleId="ParaInd5S">
    <w:name w:val="Para Ind 5 S"/>
    <w:basedOn w:val="Normal"/>
    <w:uiPriority w:val="54"/>
    <w:pPr>
      <w:spacing w:after="240"/>
      <w:ind w:left="720"/>
    </w:p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Emphasis">
    <w:name w:val="Emphasis"/>
    <w:basedOn w:val="DefaultParagraphFont"/>
    <w:uiPriority w:val="20"/>
    <w:rPr>
      <w:i/>
      <w:iCs/>
    </w:rPr>
  </w:style>
  <w:style w:type="character" w:styleId="IntenseEmphasis">
    <w:name w:val="Intense Emphasis"/>
    <w:basedOn w:val="DefaultParagraphFont"/>
    <w:uiPriority w:val="21"/>
    <w:rPr>
      <w:b/>
      <w:i/>
      <w:iCs/>
      <w:color w:val="auto"/>
    </w:rPr>
  </w:style>
  <w:style w:type="paragraph" w:styleId="IntenseQuote">
    <w:name w:val="Intense Quote"/>
    <w:basedOn w:val="Normal"/>
    <w:next w:val="Normal"/>
    <w:link w:val="IntenseQuoteChar"/>
    <w:uiPriority w:val="30"/>
    <w:pPr>
      <w:pBdr>
        <w:top w:val="single" w:sz="4" w:space="4" w:color="auto"/>
        <w:bottom w:val="single" w:sz="4" w:space="4" w:color="auto"/>
      </w:pBdr>
      <w:spacing w:before="200" w:after="240"/>
      <w:ind w:left="936" w:right="936"/>
    </w:pPr>
    <w:rPr>
      <w:b/>
      <w:i/>
      <w:iCs/>
    </w:rPr>
  </w:style>
  <w:style w:type="character" w:customStyle="1" w:styleId="IntenseQuoteChar">
    <w:name w:val="Intense Quote Char"/>
    <w:basedOn w:val="DefaultParagraphFont"/>
    <w:link w:val="IntenseQuote"/>
    <w:uiPriority w:val="30"/>
    <w:rPr>
      <w:rFonts w:ascii="Times New Roman" w:hAnsi="Times New Roman"/>
      <w:b/>
      <w:i/>
      <w:iCs/>
      <w:sz w:val="24"/>
      <w:szCs w:val="24"/>
    </w:rPr>
  </w:style>
  <w:style w:type="character" w:styleId="IntenseReference">
    <w:name w:val="Intense Reference"/>
    <w:basedOn w:val="DefaultParagraphFont"/>
    <w:uiPriority w:val="32"/>
    <w:rPr>
      <w:b/>
      <w:bCs/>
      <w:smallCaps/>
      <w:color w:val="auto"/>
      <w:spacing w:val="5"/>
      <w:u w:val="single"/>
    </w:rPr>
  </w:style>
  <w:style w:type="character" w:styleId="Strong">
    <w:name w:val="Strong"/>
    <w:basedOn w:val="DefaultParagraphFont"/>
    <w:uiPriority w:val="22"/>
    <w:rPr>
      <w:b/>
      <w:bCs/>
    </w:rPr>
  </w:style>
  <w:style w:type="character" w:styleId="SubtleEmphasis">
    <w:name w:val="Subtle Emphasis"/>
    <w:basedOn w:val="DefaultParagraphFont"/>
    <w:uiPriority w:val="19"/>
    <w:rPr>
      <w:i/>
      <w:iCs/>
      <w:color w:val="404040" w:themeColor="text1" w:themeTint="BF"/>
    </w:rPr>
  </w:style>
  <w:style w:type="character" w:styleId="SubtleReference">
    <w:name w:val="Subtle Reference"/>
    <w:basedOn w:val="DefaultParagraphFont"/>
    <w:uiPriority w:val="31"/>
    <w:rPr>
      <w:smallCaps/>
      <w:color w:val="5A5A5A" w:themeColor="text1" w:themeTint="A5"/>
    </w:rPr>
  </w:style>
  <w:style w:type="paragraph" w:styleId="TOC1">
    <w:name w:val="toc 1"/>
    <w:basedOn w:val="Normal"/>
    <w:next w:val="Normal"/>
    <w:autoRedefine/>
    <w:uiPriority w:val="56"/>
    <w:semiHidden/>
    <w:unhideWhenUsed/>
    <w:pPr>
      <w:keepLines/>
      <w:tabs>
        <w:tab w:val="right" w:leader="dot" w:pos="8640"/>
      </w:tabs>
      <w:spacing w:after="240"/>
      <w:ind w:right="720"/>
    </w:pPr>
  </w:style>
  <w:style w:type="paragraph" w:styleId="TOC2">
    <w:name w:val="toc 2"/>
    <w:basedOn w:val="Normal"/>
    <w:next w:val="Normal"/>
    <w:autoRedefine/>
    <w:uiPriority w:val="56"/>
    <w:semiHidden/>
    <w:unhideWhenUsed/>
    <w:pPr>
      <w:keepLines/>
      <w:tabs>
        <w:tab w:val="right" w:leader="dot" w:pos="8640"/>
      </w:tabs>
      <w:spacing w:after="240"/>
      <w:ind w:left="720" w:right="720"/>
    </w:pPr>
  </w:style>
  <w:style w:type="paragraph" w:styleId="TOC3">
    <w:name w:val="toc 3"/>
    <w:basedOn w:val="Normal"/>
    <w:next w:val="Normal"/>
    <w:autoRedefine/>
    <w:uiPriority w:val="56"/>
    <w:semiHidden/>
    <w:unhideWhenUsed/>
    <w:pPr>
      <w:keepLines/>
      <w:tabs>
        <w:tab w:val="right" w:leader="dot" w:pos="8640"/>
      </w:tabs>
      <w:spacing w:after="240"/>
      <w:ind w:left="1440" w:right="720"/>
    </w:pPr>
  </w:style>
  <w:style w:type="paragraph" w:styleId="TOC4">
    <w:name w:val="toc 4"/>
    <w:basedOn w:val="Normal"/>
    <w:next w:val="Normal"/>
    <w:autoRedefine/>
    <w:uiPriority w:val="56"/>
    <w:semiHidden/>
    <w:unhideWhenUsed/>
    <w:pPr>
      <w:keepLines/>
      <w:tabs>
        <w:tab w:val="right" w:leader="dot" w:pos="8640"/>
      </w:tabs>
      <w:spacing w:after="240"/>
      <w:ind w:left="2160" w:right="720"/>
    </w:pPr>
  </w:style>
  <w:style w:type="paragraph" w:styleId="TOC5">
    <w:name w:val="toc 5"/>
    <w:basedOn w:val="Normal"/>
    <w:next w:val="Normal"/>
    <w:autoRedefine/>
    <w:uiPriority w:val="56"/>
    <w:semiHidden/>
    <w:unhideWhenUsed/>
    <w:pPr>
      <w:keepLines/>
      <w:tabs>
        <w:tab w:val="right" w:leader="dot" w:pos="8640"/>
      </w:tabs>
      <w:spacing w:after="240"/>
      <w:ind w:left="2880" w:right="720"/>
    </w:pPr>
  </w:style>
  <w:style w:type="paragraph" w:styleId="TOC6">
    <w:name w:val="toc 6"/>
    <w:basedOn w:val="Normal"/>
    <w:next w:val="Normal"/>
    <w:autoRedefine/>
    <w:uiPriority w:val="56"/>
    <w:semiHidden/>
    <w:unhideWhenUsed/>
    <w:pPr>
      <w:keepLines/>
      <w:tabs>
        <w:tab w:val="right" w:leader="dot" w:pos="8640"/>
      </w:tabs>
      <w:spacing w:after="240"/>
      <w:ind w:left="3600" w:right="720"/>
    </w:pPr>
  </w:style>
  <w:style w:type="paragraph" w:styleId="TOC7">
    <w:name w:val="toc 7"/>
    <w:basedOn w:val="Normal"/>
    <w:next w:val="Normal"/>
    <w:autoRedefine/>
    <w:uiPriority w:val="56"/>
    <w:semiHidden/>
    <w:unhideWhenUsed/>
    <w:pPr>
      <w:keepLines/>
      <w:tabs>
        <w:tab w:val="right" w:leader="dot" w:pos="8640"/>
      </w:tabs>
      <w:spacing w:after="240"/>
      <w:ind w:left="4320" w:right="720"/>
    </w:pPr>
  </w:style>
  <w:style w:type="paragraph" w:styleId="TOC8">
    <w:name w:val="toc 8"/>
    <w:basedOn w:val="Normal"/>
    <w:next w:val="Normal"/>
    <w:autoRedefine/>
    <w:uiPriority w:val="56"/>
    <w:semiHidden/>
    <w:unhideWhenUsed/>
    <w:pPr>
      <w:keepLines/>
      <w:tabs>
        <w:tab w:val="right" w:leader="dot" w:pos="8640"/>
      </w:tabs>
      <w:spacing w:after="240"/>
      <w:ind w:left="5040" w:right="720"/>
    </w:pPr>
  </w:style>
  <w:style w:type="paragraph" w:styleId="TOC9">
    <w:name w:val="toc 9"/>
    <w:basedOn w:val="Normal"/>
    <w:next w:val="Normal"/>
    <w:autoRedefine/>
    <w:uiPriority w:val="56"/>
    <w:semiHidden/>
    <w:unhideWhenUsed/>
    <w:pPr>
      <w:keepLines/>
      <w:tabs>
        <w:tab w:val="right" w:leader="dot" w:pos="8640"/>
      </w:tabs>
      <w:spacing w:after="240"/>
      <w:ind w:left="5760" w:right="720"/>
    </w:pPr>
  </w:style>
  <w:style w:type="paragraph" w:styleId="TOCHeading">
    <w:name w:val="TOC Heading"/>
    <w:basedOn w:val="Heading1"/>
    <w:next w:val="Normal"/>
    <w:uiPriority w:val="35"/>
    <w:unhideWhenUsed/>
    <w:pPr>
      <w:spacing w:before="480" w:after="0"/>
      <w:outlineLvl w:val="9"/>
    </w:pPr>
    <w:rPr>
      <w:b w:val="0"/>
      <w:sz w:val="28"/>
    </w:rPr>
  </w:style>
  <w:style w:type="paragraph" w:styleId="Caption">
    <w:name w:val="caption"/>
    <w:basedOn w:val="Normal"/>
    <w:next w:val="Normal"/>
    <w:uiPriority w:val="35"/>
    <w:unhideWhenUsed/>
    <w:pPr>
      <w:spacing w:after="200"/>
    </w:pPr>
    <w:rPr>
      <w:b/>
      <w:iCs/>
      <w:sz w:val="18"/>
      <w:szCs w:val="1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hAnsi="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sz w:val="24"/>
      <w:szCs w:val="24"/>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5920">
      <w:bodyDiv w:val="1"/>
      <w:marLeft w:val="0"/>
      <w:marRight w:val="0"/>
      <w:marTop w:val="0"/>
      <w:marBottom w:val="0"/>
      <w:divBdr>
        <w:top w:val="none" w:sz="0" w:space="0" w:color="auto"/>
        <w:left w:val="none" w:sz="0" w:space="0" w:color="auto"/>
        <w:bottom w:val="none" w:sz="0" w:space="0" w:color="auto"/>
        <w:right w:val="none" w:sz="0" w:space="0" w:color="auto"/>
      </w:divBdr>
    </w:div>
    <w:div w:id="43721514">
      <w:bodyDiv w:val="1"/>
      <w:marLeft w:val="0"/>
      <w:marRight w:val="0"/>
      <w:marTop w:val="0"/>
      <w:marBottom w:val="0"/>
      <w:divBdr>
        <w:top w:val="none" w:sz="0" w:space="0" w:color="auto"/>
        <w:left w:val="none" w:sz="0" w:space="0" w:color="auto"/>
        <w:bottom w:val="none" w:sz="0" w:space="0" w:color="auto"/>
        <w:right w:val="none" w:sz="0" w:space="0" w:color="auto"/>
      </w:divBdr>
    </w:div>
    <w:div w:id="98375018">
      <w:bodyDiv w:val="1"/>
      <w:marLeft w:val="0"/>
      <w:marRight w:val="0"/>
      <w:marTop w:val="0"/>
      <w:marBottom w:val="0"/>
      <w:divBdr>
        <w:top w:val="none" w:sz="0" w:space="0" w:color="auto"/>
        <w:left w:val="none" w:sz="0" w:space="0" w:color="auto"/>
        <w:bottom w:val="none" w:sz="0" w:space="0" w:color="auto"/>
        <w:right w:val="none" w:sz="0" w:space="0" w:color="auto"/>
      </w:divBdr>
    </w:div>
    <w:div w:id="128207653">
      <w:bodyDiv w:val="1"/>
      <w:marLeft w:val="0"/>
      <w:marRight w:val="0"/>
      <w:marTop w:val="0"/>
      <w:marBottom w:val="0"/>
      <w:divBdr>
        <w:top w:val="none" w:sz="0" w:space="0" w:color="auto"/>
        <w:left w:val="none" w:sz="0" w:space="0" w:color="auto"/>
        <w:bottom w:val="none" w:sz="0" w:space="0" w:color="auto"/>
        <w:right w:val="none" w:sz="0" w:space="0" w:color="auto"/>
      </w:divBdr>
    </w:div>
    <w:div w:id="478813280">
      <w:bodyDiv w:val="1"/>
      <w:marLeft w:val="0"/>
      <w:marRight w:val="0"/>
      <w:marTop w:val="0"/>
      <w:marBottom w:val="0"/>
      <w:divBdr>
        <w:top w:val="none" w:sz="0" w:space="0" w:color="auto"/>
        <w:left w:val="none" w:sz="0" w:space="0" w:color="auto"/>
        <w:bottom w:val="none" w:sz="0" w:space="0" w:color="auto"/>
        <w:right w:val="none" w:sz="0" w:space="0" w:color="auto"/>
      </w:divBdr>
    </w:div>
    <w:div w:id="492987021">
      <w:bodyDiv w:val="1"/>
      <w:marLeft w:val="0"/>
      <w:marRight w:val="0"/>
      <w:marTop w:val="0"/>
      <w:marBottom w:val="0"/>
      <w:divBdr>
        <w:top w:val="none" w:sz="0" w:space="0" w:color="auto"/>
        <w:left w:val="none" w:sz="0" w:space="0" w:color="auto"/>
        <w:bottom w:val="none" w:sz="0" w:space="0" w:color="auto"/>
        <w:right w:val="none" w:sz="0" w:space="0" w:color="auto"/>
      </w:divBdr>
    </w:div>
    <w:div w:id="588735502">
      <w:bodyDiv w:val="1"/>
      <w:marLeft w:val="0"/>
      <w:marRight w:val="0"/>
      <w:marTop w:val="0"/>
      <w:marBottom w:val="0"/>
      <w:divBdr>
        <w:top w:val="none" w:sz="0" w:space="0" w:color="auto"/>
        <w:left w:val="none" w:sz="0" w:space="0" w:color="auto"/>
        <w:bottom w:val="none" w:sz="0" w:space="0" w:color="auto"/>
        <w:right w:val="none" w:sz="0" w:space="0" w:color="auto"/>
      </w:divBdr>
    </w:div>
    <w:div w:id="690758853">
      <w:bodyDiv w:val="1"/>
      <w:marLeft w:val="0"/>
      <w:marRight w:val="0"/>
      <w:marTop w:val="0"/>
      <w:marBottom w:val="0"/>
      <w:divBdr>
        <w:top w:val="none" w:sz="0" w:space="0" w:color="auto"/>
        <w:left w:val="none" w:sz="0" w:space="0" w:color="auto"/>
        <w:bottom w:val="none" w:sz="0" w:space="0" w:color="auto"/>
        <w:right w:val="none" w:sz="0" w:space="0" w:color="auto"/>
      </w:divBdr>
    </w:div>
    <w:div w:id="779033792">
      <w:bodyDiv w:val="1"/>
      <w:marLeft w:val="0"/>
      <w:marRight w:val="0"/>
      <w:marTop w:val="0"/>
      <w:marBottom w:val="0"/>
      <w:divBdr>
        <w:top w:val="none" w:sz="0" w:space="0" w:color="auto"/>
        <w:left w:val="none" w:sz="0" w:space="0" w:color="auto"/>
        <w:bottom w:val="none" w:sz="0" w:space="0" w:color="auto"/>
        <w:right w:val="none" w:sz="0" w:space="0" w:color="auto"/>
      </w:divBdr>
    </w:div>
    <w:div w:id="1013340815">
      <w:bodyDiv w:val="1"/>
      <w:marLeft w:val="0"/>
      <w:marRight w:val="0"/>
      <w:marTop w:val="0"/>
      <w:marBottom w:val="0"/>
      <w:divBdr>
        <w:top w:val="none" w:sz="0" w:space="0" w:color="auto"/>
        <w:left w:val="none" w:sz="0" w:space="0" w:color="auto"/>
        <w:bottom w:val="none" w:sz="0" w:space="0" w:color="auto"/>
        <w:right w:val="none" w:sz="0" w:space="0" w:color="auto"/>
      </w:divBdr>
    </w:div>
    <w:div w:id="1140075887">
      <w:bodyDiv w:val="1"/>
      <w:marLeft w:val="0"/>
      <w:marRight w:val="0"/>
      <w:marTop w:val="0"/>
      <w:marBottom w:val="0"/>
      <w:divBdr>
        <w:top w:val="none" w:sz="0" w:space="0" w:color="auto"/>
        <w:left w:val="none" w:sz="0" w:space="0" w:color="auto"/>
        <w:bottom w:val="none" w:sz="0" w:space="0" w:color="auto"/>
        <w:right w:val="none" w:sz="0" w:space="0" w:color="auto"/>
      </w:divBdr>
    </w:div>
    <w:div w:id="1359621966">
      <w:bodyDiv w:val="1"/>
      <w:marLeft w:val="0"/>
      <w:marRight w:val="0"/>
      <w:marTop w:val="0"/>
      <w:marBottom w:val="0"/>
      <w:divBdr>
        <w:top w:val="none" w:sz="0" w:space="0" w:color="auto"/>
        <w:left w:val="none" w:sz="0" w:space="0" w:color="auto"/>
        <w:bottom w:val="none" w:sz="0" w:space="0" w:color="auto"/>
        <w:right w:val="none" w:sz="0" w:space="0" w:color="auto"/>
      </w:divBdr>
    </w:div>
    <w:div w:id="1411007103">
      <w:bodyDiv w:val="1"/>
      <w:marLeft w:val="0"/>
      <w:marRight w:val="0"/>
      <w:marTop w:val="0"/>
      <w:marBottom w:val="0"/>
      <w:divBdr>
        <w:top w:val="none" w:sz="0" w:space="0" w:color="auto"/>
        <w:left w:val="none" w:sz="0" w:space="0" w:color="auto"/>
        <w:bottom w:val="none" w:sz="0" w:space="0" w:color="auto"/>
        <w:right w:val="none" w:sz="0" w:space="0" w:color="auto"/>
      </w:divBdr>
    </w:div>
    <w:div w:id="1443956336">
      <w:bodyDiv w:val="1"/>
      <w:marLeft w:val="0"/>
      <w:marRight w:val="0"/>
      <w:marTop w:val="0"/>
      <w:marBottom w:val="0"/>
      <w:divBdr>
        <w:top w:val="none" w:sz="0" w:space="0" w:color="auto"/>
        <w:left w:val="none" w:sz="0" w:space="0" w:color="auto"/>
        <w:bottom w:val="none" w:sz="0" w:space="0" w:color="auto"/>
        <w:right w:val="none" w:sz="0" w:space="0" w:color="auto"/>
      </w:divBdr>
    </w:div>
    <w:div w:id="1484816009">
      <w:bodyDiv w:val="1"/>
      <w:marLeft w:val="0"/>
      <w:marRight w:val="0"/>
      <w:marTop w:val="0"/>
      <w:marBottom w:val="0"/>
      <w:divBdr>
        <w:top w:val="none" w:sz="0" w:space="0" w:color="auto"/>
        <w:left w:val="none" w:sz="0" w:space="0" w:color="auto"/>
        <w:bottom w:val="none" w:sz="0" w:space="0" w:color="auto"/>
        <w:right w:val="none" w:sz="0" w:space="0" w:color="auto"/>
      </w:divBdr>
    </w:div>
    <w:div w:id="1543515903">
      <w:bodyDiv w:val="1"/>
      <w:marLeft w:val="0"/>
      <w:marRight w:val="0"/>
      <w:marTop w:val="0"/>
      <w:marBottom w:val="0"/>
      <w:divBdr>
        <w:top w:val="none" w:sz="0" w:space="0" w:color="auto"/>
        <w:left w:val="none" w:sz="0" w:space="0" w:color="auto"/>
        <w:bottom w:val="none" w:sz="0" w:space="0" w:color="auto"/>
        <w:right w:val="none" w:sz="0" w:space="0" w:color="auto"/>
      </w:divBdr>
    </w:div>
    <w:div w:id="1650816907">
      <w:bodyDiv w:val="1"/>
      <w:marLeft w:val="0"/>
      <w:marRight w:val="0"/>
      <w:marTop w:val="0"/>
      <w:marBottom w:val="0"/>
      <w:divBdr>
        <w:top w:val="none" w:sz="0" w:space="0" w:color="auto"/>
        <w:left w:val="none" w:sz="0" w:space="0" w:color="auto"/>
        <w:bottom w:val="none" w:sz="0" w:space="0" w:color="auto"/>
        <w:right w:val="none" w:sz="0" w:space="0" w:color="auto"/>
      </w:divBdr>
    </w:div>
    <w:div w:id="1666206583">
      <w:bodyDiv w:val="1"/>
      <w:marLeft w:val="0"/>
      <w:marRight w:val="0"/>
      <w:marTop w:val="0"/>
      <w:marBottom w:val="0"/>
      <w:divBdr>
        <w:top w:val="none" w:sz="0" w:space="0" w:color="auto"/>
        <w:left w:val="none" w:sz="0" w:space="0" w:color="auto"/>
        <w:bottom w:val="none" w:sz="0" w:space="0" w:color="auto"/>
        <w:right w:val="none" w:sz="0" w:space="0" w:color="auto"/>
      </w:divBdr>
    </w:div>
    <w:div w:id="1669478189">
      <w:bodyDiv w:val="1"/>
      <w:marLeft w:val="0"/>
      <w:marRight w:val="0"/>
      <w:marTop w:val="0"/>
      <w:marBottom w:val="0"/>
      <w:divBdr>
        <w:top w:val="none" w:sz="0" w:space="0" w:color="auto"/>
        <w:left w:val="none" w:sz="0" w:space="0" w:color="auto"/>
        <w:bottom w:val="none" w:sz="0" w:space="0" w:color="auto"/>
        <w:right w:val="none" w:sz="0" w:space="0" w:color="auto"/>
      </w:divBdr>
    </w:div>
    <w:div w:id="1829973792">
      <w:bodyDiv w:val="1"/>
      <w:marLeft w:val="0"/>
      <w:marRight w:val="0"/>
      <w:marTop w:val="0"/>
      <w:marBottom w:val="0"/>
      <w:divBdr>
        <w:top w:val="none" w:sz="0" w:space="0" w:color="auto"/>
        <w:left w:val="none" w:sz="0" w:space="0" w:color="auto"/>
        <w:bottom w:val="none" w:sz="0" w:space="0" w:color="auto"/>
        <w:right w:val="none" w:sz="0" w:space="0" w:color="auto"/>
      </w:divBdr>
    </w:div>
    <w:div w:id="1863129630">
      <w:bodyDiv w:val="1"/>
      <w:marLeft w:val="0"/>
      <w:marRight w:val="0"/>
      <w:marTop w:val="0"/>
      <w:marBottom w:val="0"/>
      <w:divBdr>
        <w:top w:val="none" w:sz="0" w:space="0" w:color="auto"/>
        <w:left w:val="none" w:sz="0" w:space="0" w:color="auto"/>
        <w:bottom w:val="none" w:sz="0" w:space="0" w:color="auto"/>
        <w:right w:val="none" w:sz="0" w:space="0" w:color="auto"/>
      </w:divBdr>
    </w:div>
    <w:div w:id="1876112724">
      <w:bodyDiv w:val="1"/>
      <w:marLeft w:val="0"/>
      <w:marRight w:val="0"/>
      <w:marTop w:val="0"/>
      <w:marBottom w:val="0"/>
      <w:divBdr>
        <w:top w:val="none" w:sz="0" w:space="0" w:color="auto"/>
        <w:left w:val="none" w:sz="0" w:space="0" w:color="auto"/>
        <w:bottom w:val="none" w:sz="0" w:space="0" w:color="auto"/>
        <w:right w:val="none" w:sz="0" w:space="0" w:color="auto"/>
      </w:divBdr>
    </w:div>
    <w:div w:id="1886604066">
      <w:bodyDiv w:val="1"/>
      <w:marLeft w:val="0"/>
      <w:marRight w:val="0"/>
      <w:marTop w:val="0"/>
      <w:marBottom w:val="0"/>
      <w:divBdr>
        <w:top w:val="none" w:sz="0" w:space="0" w:color="auto"/>
        <w:left w:val="none" w:sz="0" w:space="0" w:color="auto"/>
        <w:bottom w:val="none" w:sz="0" w:space="0" w:color="auto"/>
        <w:right w:val="none" w:sz="0" w:space="0" w:color="auto"/>
      </w:divBdr>
    </w:div>
    <w:div w:id="1991707910">
      <w:bodyDiv w:val="1"/>
      <w:marLeft w:val="0"/>
      <w:marRight w:val="0"/>
      <w:marTop w:val="0"/>
      <w:marBottom w:val="0"/>
      <w:divBdr>
        <w:top w:val="none" w:sz="0" w:space="0" w:color="auto"/>
        <w:left w:val="none" w:sz="0" w:space="0" w:color="auto"/>
        <w:bottom w:val="none" w:sz="0" w:space="0" w:color="auto"/>
        <w:right w:val="none" w:sz="0" w:space="0" w:color="auto"/>
      </w:divBdr>
    </w:div>
    <w:div w:id="2043242996">
      <w:bodyDiv w:val="1"/>
      <w:marLeft w:val="0"/>
      <w:marRight w:val="0"/>
      <w:marTop w:val="0"/>
      <w:marBottom w:val="0"/>
      <w:divBdr>
        <w:top w:val="none" w:sz="0" w:space="0" w:color="auto"/>
        <w:left w:val="none" w:sz="0" w:space="0" w:color="auto"/>
        <w:bottom w:val="none" w:sz="0" w:space="0" w:color="auto"/>
        <w:right w:val="none" w:sz="0" w:space="0" w:color="auto"/>
      </w:divBdr>
    </w:div>
    <w:div w:id="2130590590">
      <w:bodyDiv w:val="1"/>
      <w:marLeft w:val="0"/>
      <w:marRight w:val="0"/>
      <w:marTop w:val="0"/>
      <w:marBottom w:val="0"/>
      <w:divBdr>
        <w:top w:val="none" w:sz="0" w:space="0" w:color="auto"/>
        <w:left w:val="none" w:sz="0" w:space="0" w:color="auto"/>
        <w:bottom w:val="none" w:sz="0" w:space="0" w:color="auto"/>
        <w:right w:val="none" w:sz="0" w:space="0" w:color="auto"/>
      </w:divBdr>
    </w:div>
    <w:div w:id="214581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B4A98114358541A91DE44D6F330745" ma:contentTypeVersion="9" ma:contentTypeDescription="Create a new document." ma:contentTypeScope="" ma:versionID="8976940ed6cbe160c58c66765bf443fb">
  <xsd:schema xmlns:xsd="http://www.w3.org/2001/XMLSchema" xmlns:xs="http://www.w3.org/2001/XMLSchema" xmlns:p="http://schemas.microsoft.com/office/2006/metadata/properties" xmlns:ns3="1be6928c-d5b1-4bea-aba0-78543e1b3252" targetNamespace="http://schemas.microsoft.com/office/2006/metadata/properties" ma:root="true" ma:fieldsID="f7b17450df744d0f7e828221ac052752" ns3:_="">
    <xsd:import namespace="1be6928c-d5b1-4bea-aba0-78543e1b32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6928c-d5b1-4bea-aba0-78543e1b3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9801-A60C-4311-A216-29D1935E4F2C}">
  <ds:schemaRefs>
    <ds:schemaRef ds:uri="http://purl.org/dc/terms/"/>
    <ds:schemaRef ds:uri="http://schemas.openxmlformats.org/package/2006/metadata/core-properties"/>
    <ds:schemaRef ds:uri="http://purl.org/dc/dcmitype/"/>
    <ds:schemaRef ds:uri="http://schemas.microsoft.com/office/infopath/2007/PartnerControls"/>
    <ds:schemaRef ds:uri="1be6928c-d5b1-4bea-aba0-78543e1b3252"/>
    <ds:schemaRef ds:uri="http://purl.org/dc/elements/1.1/"/>
    <ds:schemaRef ds:uri="http://schemas.microsoft.com/office/2006/documentManagement/types"/>
    <ds:schemaRef ds:uri="http://www.w3.org/XML/1998/namespace"/>
    <ds:schemaRef ds:uri="http://schemas.microsoft.com/office/2006/metadata/properties"/>
  </ds:schemaRefs>
</ds:datastoreItem>
</file>

<file path=customXml/itemProps2.xml><?xml version="1.0" encoding="utf-8"?>
<ds:datastoreItem xmlns:ds="http://schemas.openxmlformats.org/officeDocument/2006/customXml" ds:itemID="{7CDF50E6-AC3A-4593-9493-9353A7D85DAA}">
  <ds:schemaRefs>
    <ds:schemaRef ds:uri="http://schemas.microsoft.com/sharepoint/v3/contenttype/forms"/>
  </ds:schemaRefs>
</ds:datastoreItem>
</file>

<file path=customXml/itemProps3.xml><?xml version="1.0" encoding="utf-8"?>
<ds:datastoreItem xmlns:ds="http://schemas.openxmlformats.org/officeDocument/2006/customXml" ds:itemID="{55A8F80E-4F05-471C-BCA7-67BD20D16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6928c-d5b1-4bea-aba0-78543e1b3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817274-0102-4976-8F1C-AB7B0176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6366</Words>
  <Characters>36288</Characters>
  <Application>Microsoft Office Word</Application>
  <DocSecurity>4</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Eversheds Sutherland (US) LLP</Company>
  <LinksUpToDate>false</LinksUpToDate>
  <CharactersWithSpaces>42569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Reed, Benjamin</dc:creator>
  <cp:keywords/>
  <dc:description/>
  <cp:lastModifiedBy>Wyke-Garrett, Cynthia</cp:lastModifiedBy>
  <cp:revision>2</cp:revision>
  <cp:lastPrinted>2022-06-22T23:38:00Z</cp:lastPrinted>
  <dcterms:created xsi:type="dcterms:W3CDTF">2022-06-23T17:15:00Z</dcterms:created>
  <dcterms:modified xsi:type="dcterms:W3CDTF">2022-06-23T17:15:00Z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0x010100E4B4A98114358541A91DE44D6F330745</vt:lpwstr>
  </property>
  <property fmtid="{D5CDD505-2E9C-101B-9397-08002B2CF9AE}" pid="3" name="DocNumber">
    <vt:lpwstr>47483268.1</vt:lpwstr>
  </property>
  <property fmtid="{D5CDD505-2E9C-101B-9397-08002B2CF9AE}" pid="4" name="vDisableFootersThisDoc">
    <vt:lpwstr>Y</vt:lpwstr>
  </property>
</Properties>
</file>